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fcm_trust_cds</w:t>
      </w:r>
    </w:p>
    <w:p>
      <w:r>
        <w:t xml:space="preserve"> </w:t>
      </w:r>
    </w:p>
    <w:p>
      <w:pPr>
        <w:pStyle w:val="Heading2"/>
      </w:pPr>
      <w:r>
        <w:t>Title</w:t>
      </w:r>
    </w:p>
    <w:p>
      <w:r>
        <w:t>Quantifying perceived clinician trust in interpretable COVID-19 diagnostic decision support using fuzzy cognitive maps</w:t>
      </w:r>
    </w:p>
    <w:p>
      <w:r>
        <w:t xml:space="preserve"> </w:t>
      </w:r>
    </w:p>
    <w:p>
      <w:pPr>
        <w:pStyle w:val="Heading2"/>
      </w:pPr>
      <w:r>
        <w:t>Short Hypothesis</w:t>
      </w:r>
    </w:p>
    <w:p>
      <w:r>
        <w:t>Eliciting clinicians' mental models with fuzzy cognitive maps (FCMs) and presenting a derived trust score and explanation will improve trust calibration (closer match between clinician trust and model accuracy) compared with presenting model outputs without FCM-derived trust information.</w:t>
      </w:r>
    </w:p>
    <w:p>
      <w:r>
        <w:t xml:space="preserve"> </w:t>
      </w:r>
    </w:p>
    <w:p>
      <w:pPr>
        <w:pStyle w:val="Heading2"/>
      </w:pPr>
      <w:r>
        <w:t>Related Work</w:t>
      </w:r>
    </w:p>
    <w:p>
      <w:r>
        <w:t>Existing work on trust in clinical decision support focuses on explainable or interpretable machine learning (ML) methods (feature attributions, example-based explanations, counterfactuals, and rule summaries) and on measuring trust via self-report surveys and behavioral proxies (acceptance/override rates, time-to-decision). Limitations include: (1) explanations that emphasize feature importance may lack fidelity to the model's true reasoning (faithfulness problem); (2) example-based or counterfactual methods can retrieve or propose clinically irrelevant or non-actionable items; (3) standard trust measurement relies on surveys that do not capture individual clinicians' underlying reasoning patterns; (4) behavioral proxies are noisy and context-dependent; and (5) few approaches directly elicit and formalize clinicians' mental models for trust quantification. Fuzzy cognitive maps (FCMs) — a method to represent causal beliefs as weighted concept graphs — have been used in other domains to model mental models but are not widely applied to quantify perceived trust or to validate explanation alignment in clinical ML settings. Current gaps are a reproducible pipeline to elicit clinician mental models, map them to explanations, and compute validated trust metrics tied to both self-report and behavior.</w:t>
      </w:r>
    </w:p>
    <w:p>
      <w:r>
        <w:t xml:space="preserve"> </w:t>
      </w:r>
    </w:p>
    <w:p>
      <w:pPr>
        <w:pStyle w:val="Heading2"/>
      </w:pPr>
      <w:r>
        <w:t>Abstract</w:t>
      </w:r>
    </w:p>
    <w:p>
      <w:r>
        <w:t>We address the problem of measuring and validating clinicians' perceived trust in an interpretable machine learning clinical decision support (CDS) system for COVID-19 diagnosis. We propose a methodology that elicits clinicians' mental models via fuzzy cognitive maps (FCMs) — simple graphs where concepts (symptoms, tests, risk factors) are connected by weighted causal links — then quantifies perceived trust by comparing FCM-derived expectations with model explanations using a degree-of-agreement metric. The main contribution is an end-to-end, reproducible pipeline that (1) elicits and aggregates clinician FCMs, (2) generates a per-case perceived-trust score, and (3) validates that score against self-report trust measures and behavioral outcomes. Expected outcomes include a validated trust instrument grounded in clinician reasoning, objective fidelity measures linking explanations to model behavior, and empirical evidence on which explanation modalities (attribution, example, counterfactual, rule) best align with clinician mental models. The impact will be practical tools to evaluate interpretability and to guide safer, trust-aware CDS designs.</w:t>
      </w:r>
    </w:p>
    <w:p>
      <w:r>
        <w:t xml:space="preserve"> </w:t>
      </w:r>
    </w:p>
    <w:p>
      <w:pPr>
        <w:pStyle w:val="Heading2"/>
      </w:pPr>
      <w:r>
        <w:t>Experiments</w:t>
      </w:r>
    </w:p>
    <w:p>
      <w:r>
        <w:t>Datasets: (a) retrospective de-identified hospital EHR cohort of suspected COVID-19 cases including demographics, vitals, labs, imaging reports, and outcomes; (b) synthetic, privacy-preserving EHR vignette library derived from (a) covering typical and edge cases. Baselines: (1) no explanation, (2) local feature attributions (numeric contributions similar to SHAP), (3) example-based similar-case retrieval, (4) rule-based clinical summary, (5) counterfactual suggestions. Proposed method: FCM-augmented explanation that includes a quantified perceived-trust score and degree-of-agreement feedback. Evaluation metrics: primary — Trust-in-CDS score (latent factor from 8–12 items) and Trust-Calibration Index (absolute difference between clinician trust and model correctness probability aggregated across cases); secondary — acceptance/override rate, clinician-model concordance, sensitivity/specificity, Brier score (probability calibration), perturbation-based fidelity score (change in model output when top attribution features are perturbed), example-retrieval correctness (percentage of retrieved cases matching key clinical features), counterfactual actionability rate (fraction of counterfactuals that change clinically feasible inputs), NASA-TLX (workload), and time-to-decision. Experimental setup: within-subject randomized crossover with N=48 clinicians (target range 40–60) stratified by specialty and experience; each clinician evaluates 24 vignettes balanced across severity and randomized across five explanation conditions with counterbalancing and practice trials to reduce learning effects; inter-condition washout of filler tasks. Data collection: self-report trust items after each vignette, automated logging of decisions and interaction events, think-aloud transcripts for a subset (n=12) for concordance coding. Statistical analysis: mixed-effects linear models with random intercepts for clinician and vignette, planned contrasts comparing FCM-augmented vs each baseline, mediation analysis testing whether perceived trust mediates acceptance, and ablation studies: (A) remove uncertainty/provenance from FCM-augmented explanation; (B) vary fidelity threshold for attribution-based explanations; (C) compare FCM degree-of-agreement computed with full vs pruned clinician FCMs. Pre-specified success criteria: statistically significant reduction in Trust-Calibration Index (p&lt;0.05) and higher clinician-model concordance for FCM-augmented condition.</w:t>
      </w:r>
    </w:p>
    <w:p>
      <w:r>
        <w:t xml:space="preserve"> </w:t>
      </w:r>
    </w:p>
    <w:p>
      <w:pPr>
        <w:pStyle w:val="Heading2"/>
      </w:pPr>
      <w:r>
        <w:t>Risk Factors And Limitations</w:t>
      </w:r>
    </w:p>
    <w:p>
      <w:r>
        <w:t>FCM elicitation noise: clinicians may provide inconsistent or incomplete FCMs, reducing reliability. Small sample risk: study power may be limited if clinician recruitment falls below planned N. Survey bias: self-report trust is subject to social desirability and does not fully capture behavior. Fidelity metrics limits: perturbation-based scores can misrepresent true model reasoning for complex models. Counterfactual validity: generated counterfactuals may not be causally valid or clinically actionable. Synthetic vignettes: may not capture real-world workflow complexity or rare cases. Carryover and learning: crossover designs risk learning or fatigue effects despite counterbalancing. Generalization: results from COVID-19 diagnosis may not transfer to other clinical tasks or specialties. Compute and scalability: producing multiple explanation modalities and FCM aggregation can be computationally intensive for large case volumes. Privacy and regulatory constraints: access to multi-site EHR data and IRB approvals may delay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