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ptb_pos_anomaly_detection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Probability-distribution-based anomaly detection for identifying part-of-speech annotation errors in the Penn Treebank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a probability distribution is fit to correctly annotated POS-tagged corpus elements, then elements with low likelihood under that distribution will correspond to annotation errors at a rate greater than random selection.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annotation-error detection include rule-based checks (handwritten rules that find obvious mismatches), language-model perplexity scoring (using a language model to assign surprise scores to text), statistical outlier detectors such as Isolation Forest and One-Class SVM (methods that mark rare items as outliers), reconstruction-based detectors like autoencoders (models that learn to reconstruct normal items and flag large reconstruction errors), and embedding-based nearest-neighbor methods (comparing an item to similar items in embedding space). Work on synthetic-error injection has produced controlled testbeds but often fails to match the distribution of natural errors, causing detectors to overfit synthetic artifacts. Existing evaluations commonly omit ultra-low-prevalence regimes (e.g., 0.01%–0.1%), lack standardized provenance and deterministic preprocessing, and rarely publish injector calibration or power analyses. Explainability and human-in-the-loop workflows are underdeveloped in prior studies, limiting practical triage of flagged items.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automatic detection of annotation errors in a part-of-speech (POS) tagged corpus by modeling the distribution of corpus elements and flagging low-likelihood items as potential errors. The method fits probability models over tokens, token+tag pairs, and local contexts to compute anomaly scores (a number indicating how unlikely an item is). Main contributions are: (1) a reproducible pipeline that produces probability-based anomaly scores on a manually annotated POS corpus, (2) an evaluation suite that measures detection performance across low-prevalence regimes and compares statistical, embedding, and reconstruction detectors, and (3) diagnostic tests that compare synthetic injector statistics to natural error statistics to quantify realism (goodness-of-fit). Expected outcome is an empirically validated detector that prioritizes likely annotation errors for human review and a set of reproducible benchmarks and diagnostics to ensure findings generalize beyond synthetic artifacts.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Penn Treebank POS-tagged corpus as the primary corpus; create a held-out natural-anomaly test set consisting of ~2,000 adjudicated items sampled from diverse sources and annotation rounds; generate synthetic anomalies with parameterized injectors at prevalences {0.1%, 1%, 5%, 10%} and seeds documented for reproducibility. Baselines: frequency-based heuristic (rare token+tag pairs), IsolationForest (ensemble tree-based outlier detector), One-Class SVM (kernel-based boundary detector), dense autoencoder (reconstruction error), Transformer language-model perplexity scoring (surprise of context), and SBERT+kNN outlier score (embedding distance to k nearest neighbors). Metrics: Average Precision (AP), PR-AUC, ROC-AUC, precision@k for k={10,100,1000}, recall at precision&gt;=0.9, calibration measured by Brier score, and latency/throughput (items/sec). Experimental setup: deterministic preprocessing with fixed seeds; deduplication on/off ablation; normalize vs raw-text ablation; train detectors on training split without injected anomalies and on training split with controlled synthetic injections; evaluate on synthetic validation and on held-out natural-anomaly test set. Ablations: (A) synthetic-only training vs synthetic+natural fine-tune, (B) embedding model variants (SBERT-small vs SBERT-large), (C) deduplication enabled vs disabled, (D) normalization rules applied vs not applied. Statistical analysis: compute 95% bootstrap confidence intervals for AP and precision@k; use DeLong test for ROC comparisons; report effect sizes and p-values with Benjamini-Hochberg correction for multiple comparisons. Power analysis: compute required annotated sample sizes for prevalences 0.01%–0.1% using binomial confidence intervals and bootstrapped AP variance to report detectable effect thresholds. Reproducibility: publish seeds, manifests, and evaluation scripts; run CI tests that validate metric computations on a synthetic toy dataset.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Synthetic injector mismatch: synthetic errors may not match the statistical structure of real annotation errors, causing overfitting. Ultra-low prevalence: detecting anomalies at 0.01%–0.1% prevalence requires very large annotated test sets and produces wide confidence intervals. Class imbalance: extreme imbalance inflates false-positive workloads for human reviewers. Annotation quality: limited adjudicated gold data or low inter-annotator agreement reduces validity of evaluation. Domain shift: detectors trained on one source or time period may not generalize to other sources or later annotation styles. Compute and storage: embedding models and large detectors require significant CPU/GPU and storage resources, which may limit scalability. Privacy and legal constraints: corpus contents may contain sensitive information restricting release or requiring redaction. Reproducibility hazards: non-deterministic embedding generation or undocumented preprocessing can undermine reproducibility. Metric sensitivity: summary metrics (ROC-AUC) can be misleading under extreme imbalance and may not reflect practical triage utility.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