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hierarchical_occlusion_ensemble_mri_xai</w:t>
      </w:r>
    </w:p>
    <w:p>
      <w:r>
        <w:t xml:space="preserve"> </w:t>
      </w:r>
    </w:p>
    <w:p>
      <w:pPr>
        <w:pStyle w:val="Heading2"/>
      </w:pPr>
      <w:r>
        <w:t>Title</w:t>
      </w:r>
    </w:p>
    <w:p>
      <w:r>
        <w:t>Hierarchical occlusion and ensemble explainability for MRI diagnostic support of distal myopathies</w:t>
      </w:r>
    </w:p>
    <w:p>
      <w:r>
        <w:t xml:space="preserve"> </w:t>
      </w:r>
    </w:p>
    <w:p>
      <w:pPr>
        <w:pStyle w:val="Heading2"/>
      </w:pPr>
      <w:r>
        <w:t>Short Hypothesis</w:t>
      </w:r>
    </w:p>
    <w:p>
      <w:r>
        <w:t>Applying a hierarchical occlusion technique combined with an ensemble of explainable AI (XAI) methods to a 3D MRI diagnostic model will improve radiologist localization fidelity (higher IoU) and classification accuracy compared to single-method saliency maps or no explanations.</w:t>
      </w:r>
    </w:p>
    <w:p>
      <w:r>
        <w:t xml:space="preserve"> </w:t>
      </w:r>
    </w:p>
    <w:p>
      <w:pPr>
        <w:pStyle w:val="Heading2"/>
      </w:pPr>
      <w:r>
        <w:t>Related Work</w:t>
      </w:r>
    </w:p>
    <w:p>
      <w:r>
        <w:t>Existing XAI approaches for medical imaging include gradient-based attributions (e.g., Grad-CAM), integrated gradients, perturbation/occlusion methods, model-agnostic approximations (e.g., LIME/SHAP), and counterfactual generation. Prior work often uses 2D slices or single-contrast inputs, producing heatmaps that are noisy, spatially diffuse, or unstable under small input changes. Perturbation methods yield higher fidelity but are computationally expensive and usually applied at coarse scales. Gradient methods are fast but can highlight broad regions that lack lesion specificity and can be sensitive to model gradients (instability). Model-agnostic explainers trade fidelity for local surrogate fit and can misrepresent deep model reasoning. Counterfactual methods frequently produce images that are not constrained by imaging physics and thus may be clinically implausible. Few studies combine multi-method ensembles, apply hierarchical (coarse-to-fine) masking, enforce MRI physics constraints, or perform formal radiologist-driven evaluation on 3D, multi-contrast MRI. Validation against radiologist judgments and robustness to vendor/protocol shifts remains limited.</w:t>
      </w:r>
    </w:p>
    <w:p>
      <w:r>
        <w:t xml:space="preserve"> </w:t>
      </w:r>
    </w:p>
    <w:p>
      <w:pPr>
        <w:pStyle w:val="Heading2"/>
      </w:pPr>
      <w:r>
        <w:t>Abstract</w:t>
      </w:r>
    </w:p>
    <w:p>
      <w:r>
        <w:t>We address the need for clinically actionable and reliable explanations of MRI-based diagnostic models for distal myopathies. We propose an approach that combines a hierarchical occlusion technique (coarse-to-fine masking of image regions) with an ensemble of complementary XAI methods to produce refined, 3D, sequence-aware visualizations. Hierarchical occlusion systematically tests the effect of nested regions on model output; an ensemble fuses gradient-based, perturbation-based, and counterfactual signals into a single clinician-oriented map. The main contribution is a reproducible pipeline that generates sparse, modality-decomposed explanations that are constrained for MRI physical plausibility and assessed with quantitative fidelity and radiologist evaluation. We will evaluate explanation fidelity, stability across noise and vendor shifts, localization against segmentation masks, and decision impact in a randomized crossover reader study. Expected outcomes are measurable improvements in localization IoU and clinician trust metrics, clear failure-mode characterizations, and a shared evaluation protocol suitable for regulatory and clinical validation.</w:t>
      </w:r>
    </w:p>
    <w:p>
      <w:r>
        <w:t xml:space="preserve"> </w:t>
      </w:r>
    </w:p>
    <w:p>
      <w:pPr>
        <w:pStyle w:val="Heading2"/>
      </w:pPr>
      <w:r>
        <w:t>Experiments</w:t>
      </w:r>
    </w:p>
    <w:p>
      <w:r>
        <w:t>Datasets: Multi-center, multi-vendor 3D MRI collection for distal myopathies comprising 200 labeled subjects (training+validation) and 40 held-out test subjects plus 40 curated edge cases (artifacts, post-op, small lesions). Each subject includes multi-contrast volumes (e.g., T1, T2, STIR or equivalent) and voxel-wise segmentation masks for lesion/region-of-interest and lesion-level labels. Split: train 140, val 20, test 40; edge-case set 40 kept separate. Model: 3D convolutional classification model with separate encoder paths per contrast producing a diagnostic probability and optional segmentation head. Baselines: (1) model output without explanations, (2) single-method explainers: 3D Grad-CAM, 3D Integrated Gradients, sliding-window occlusion (fixed patch), and SHAP approximations adapted to 3D, (3) non-hierarchical ensemble that averages per-voxel scores. Proposed: hierarchical occlusion (coarse-to-fine nested masking) + ensemble fusion that weights methods by perturbation-fidelity. Evaluation metrics: localization IoU between thresholded explanation maps and segmentation masks; lesion-wise sensitivity (fraction of lesions intersecting explanation); perturbation-based fidelity defined as the decrease in predicted probability after masking top-k% salient voxels (report for k={5,10,20}); sparsity = fraction of voxels in explanation; stability = mean Dice between explanations under Gaussian noise (sigma values 0.01,0.05 normalized) and small affine resampling; contrast-sensitivity = per-contrast attribution concordance with single-contrast ablations (correlation coefficient); decision impact = change in radiologist diagnostic accuracy, sensitivity, specificity, reading time, and confidence in a randomized crossover reader study. Reader study: 8 experienced neuroradiologists; 120-case reading set per reader stratified (90 typical, 30 edge); randomized crossover with 4-week washout; conditions: with proposed explanations vs with best baseline single-method map; primary endpoint: per-case accuracy difference. Statistical analysis: linear or generalized linear mixed-effects models with fixed effect for explanation condition and random effects for reader and case; two-sided alpha=0.05. Ablations: (A) remove hierarchical step (flat occlusion ensemble), (B) remove ensemble (single best method), (C) remove physics constraints on counterfactuals, (D) vendor holdout: leave-one-center-out test for OOD robustness. Implementation and reproducibility: fix random seeds, provide Docker container image hash, publish DataLad dataset splits and scripts, and log hyperparameters. Report effect sizes, 95% confidence intervals, and per-metric thresholds.</w:t>
      </w:r>
    </w:p>
    <w:p>
      <w:r>
        <w:t xml:space="preserve"> </w:t>
      </w:r>
    </w:p>
    <w:p>
      <w:pPr>
        <w:pStyle w:val="Heading2"/>
      </w:pPr>
      <w:r>
        <w:t>Risk Factors And Limitations</w:t>
      </w:r>
    </w:p>
    <w:p>
      <w:r>
        <w:t>Technical failure modes: explanations may remain noisy or highlight confounding image features (scanner marks, table edges) instead of pathology; counterfactuals may exploit non-physical image changes and appear plausible but be clinically meaningless. Data and evaluation biases: limited number of labeled distal myopathy cases and uneven class distribution may bias models and explanations; multi-center harmonization may be imperfect. Reader study limits: small radiologist sample limits generalizability; reader fatigue or learning effects may confound results. Scalability and compute: hierarchical occlusion and large-ensemble evaluations are computationally expensive for 3D volumes (high GPU/CPU use and long run times). Generalization limits: methods tuned on distal myopathies and specific sequences may not transfer to other neuromuscular disorders or different MRI protocols. Regulatory and clinical limits: measured improvements in IoU or accuracy may not directly translate to improved patient outcomes; explanations that score well on quantitative metrics may still be misinterpreted by clinicians.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