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for semi-supervised medical image segmentation with limited annotations</w:t>
      </w:r>
    </w:p>
    <w:p>
      <w:r>
        <w:t xml:space="preserve"> </w:t>
      </w:r>
    </w:p>
    <w:p>
      <w:pPr>
        <w:pStyle w:val="Heading2"/>
      </w:pPr>
      <w:r>
        <w:t>Short Hypothesis</w:t>
      </w:r>
    </w:p>
    <w:p>
      <w:r>
        <w:t>Combining scale-aware adaptive pixel-wise reweighting, 3D Fourier-domain view-variance augmentation, and segmentation–regression consistency with signed distance maps produces higher segmentation Dice and improved boundary accuracy (lower HD95) than standard semi-supervised baselines when trained with ≤10% labeled data on clinical segmentation tasks.</w:t>
      </w:r>
    </w:p>
    <w:p>
      <w:r>
        <w:t xml:space="preserve"> </w:t>
      </w:r>
    </w:p>
    <w:p>
      <w:pPr>
        <w:pStyle w:val="Heading2"/>
      </w:pPr>
      <w:r>
        <w:t>Related Work</w:t>
      </w:r>
    </w:p>
    <w:p>
      <w:r>
        <w:t>Existing approaches address limited medical annotations with semi-supervised learning (consistency regularization, teacher-student/pseudo-labeling) and multi-scale architectures (feature pyramids, multi-scale encoders, and attention) to capture lesions of different sizes. Dynamic receptive-field techniques (dilated convolutions) and scale-conditioned attention have been proposed to adapt spatial context per location. Signed distance maps and regression losses have been used to improve boundary precision by teaching the model geometric distance to the boundary. Data augmentation in frequency domains has been used to simulate style or view variations. Limitations remain: (1) many semi-supervised methods produce unstable pseudo-labels under very low label fractions and for small lesions; (2) multi-scale fusion often lacks explicit per-location scale conditioning and can mis-weight scales (scale miscalibration); (3) frequency-domain augmentations rarely target annotation variability across views; (4) boundary-focused losses and regression consistency are insufficiently integrated with scale-aware fusion, so small-lesion boundary accuracy still degrades; (5) evaluations commonly omit scale-stratified metrics and statistical pre-registration, reducing reproducibility.</w:t>
      </w:r>
    </w:p>
    <w:p>
      <w:r>
        <w:t xml:space="preserve"> </w:t>
      </w:r>
    </w:p>
    <w:p>
      <w:pPr>
        <w:pStyle w:val="Heading2"/>
      </w:pPr>
      <w:r>
        <w:t>Abstract</w:t>
      </w:r>
    </w:p>
    <w:p>
      <w:r>
        <w:t>We address semi-supervised medical image segmentation when annotated masks are scarce and lesions vary widely in size. We propose a Scale-Aware Adaptive Supervised Network (SASNet) that fuses low- and high-level features with a scale-aware adaptive reweighting strategy to produce per-pixel scale-conditioned predictions. SASNet includes three integrated components: (1) scale-aware adaptive reweighting that uses temporal confidence accumulation to weight pixel-wise predictions across training steps (temporal confidence is the model's recent certainty over a pixel); (2) 3D Fourier-domain view-variance augmentation that perturbs frequency components to simulate realistic annotation and view variability (the Fourier domain represents images by their frequency content); and (3) segmentation–regression consistency that enforces agreement between mask outputs and signed distance map regression (signed distance maps give the distance of each pixel to the nearest boundary, positive inside and negative outside). The main contribution is a unified framework that couples spatial, temporal, and geometric consistency to improve segmentation overlap and boundary precision under annotation scarcity. We expect SASNet to raise Dice scores and reduce boundary errors versus standard semi-supervised baselines on clinically relevant datasets.</w:t>
      </w:r>
    </w:p>
    <w:p>
      <w:r>
        <w:t xml:space="preserve"> </w:t>
      </w:r>
    </w:p>
    <w:p>
      <w:pPr>
        <w:pStyle w:val="Heading2"/>
      </w:pPr>
      <w:r>
        <w:t>Experiments</w:t>
      </w:r>
    </w:p>
    <w:p>
      <w:r>
        <w:t>Datasets: use ISIC skin lesion segmentation and BraTS brain tumor segmentation subsets. For each dataset: split into locked train/val/test with stratification by lesion scale and acquisition center. Labeled fractions: 1%, 5%, 10%, 25% of training images labeled; remaining training images unlabeled. Baselines: (A) U-Net trained supervised on labeled fraction, (B) nnU-Net baseline, (C) EfficientNet-FPN variant (lightweight multi-scale backbone), (D) mean-teacher semi-supervised, (E) standard pseudo-labeling with fixed confidence threshold. Proposed: SASNet full model. Metrics: voxel-wise Dice and Jaccard (IoU), HD95 (95th percentile Hausdorff distance) and ASSD (average symmetric surface distance) for boundary, lesion-wise recall and precision, Expected Calibration Error (ECE) for probability calibration, parameter count and FLOPs, and inference latency (ms/image). Setup: train each model with identical data augmentation and optimizer settings; fix random seeds and environment (Docker/pinned deps); repeat each experiment 5 independent runs. Cross-validation: 5-fold stratified by center and scale; evaluate on locked external holdout when available. Statistical tests: paired bootstrap with 1000 resamples to compute 95% confidence intervals and permutation test for significance (report p-values). Ablations (pre-registered order): 1) remove SAFM (scale-adaptive fusion) 2) replace Dynamic Dilation Convolution (DDC) with fixed dilation 3) remove CSSA attention 4) remove 3D Fourier view-variance augmentation 5) remove segmentation–regression (signed distance) consistency 6) replace temporal confidence accumulation with naïve confidence. For ablations, report same metrics and compute effect sizes. Additional comparisons: vary labeled fractions and report performance-vs-label curves; report scale-stratified metrics for small/medium/large lesions (size cutoffs defined per dataset).</w:t>
      </w:r>
    </w:p>
    <w:p>
      <w:r>
        <w:t xml:space="preserve"> </w:t>
      </w:r>
    </w:p>
    <w:p>
      <w:pPr>
        <w:pStyle w:val="Heading2"/>
      </w:pPr>
      <w:r>
        <w:t>Risk Factors And Limitations</w:t>
      </w:r>
    </w:p>
    <w:p>
      <w:r>
        <w:t>Technical failure modes: pseudo-label drift when teacher confidence is miscalibrated; scale-prediction errors that cause mis-weighting and either over-segmentation or under-segmentation for certain lesion sizes; dynamic dilation may expand receptive fields improperly on thin structures. Data and evaluation biases: public datasets may not represent scanner, protocol, or demographic diversity; scale cutoffs derived from one dataset may not transfer. Small-lesion sensitivity: very small lesions (&lt; a few pixels) may remain unrecoverable under extreme label scarcity. Compute and scalability: added modules (SAFM, DDC, CSSA) increase parameter count and inference cost relative to minimal baselines, limiting low-resource deployment. Annotation limits: weak labels (scribbles/boxes) vary in quality and may introduce noise. Generalization limits: frequency-domain view perturbations simulate some annotation variability but may not capture all clinical imaging artifacts. Reproducibility constraints: method performance depends on pretraining and pseudo-label scheduling hyperparameters, increasing tuning burden.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