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motion_aware_unrolled_recon_seg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Physics-informed unrolled reconstruction with per-readout motion supervision for robust myocardial segmentation in respiratory-motion-corrupted cardiac cine MRI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Jointly training a physics-informed unrolled reconstruction network that is supervised with per-readout motion fields and segmentation labels will reduce absolute left ventricular ejection fraction (EF) error under respiratory motion by at least 20% compared to a standard reconstruction followed by a segmentation network.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address respiratory motion in cardiac MRI by: (1) motion correction and gating methods that reject or average data and reduce artifacts but lose temporal resolution or data efficiency; (2) unrolled or physics-informed reconstruction methods that enforce data consistency with the k-space sampling pattern but generally do not incorporate per-readout motion supervision; (3) learning-based motion estimation and self-supervised methods that infer motion without ground truth, limiting absolute accuracy; (4) segmentation methods trained on clean or mildly corrupted images that degrade under strong motion; and (5) k-space simulation and waveform-driven datasets that enable synthetic benchmarking but often show a gap to in-vivo performance. Limitations are: lack of per-readout motion ground truth for supervised motion learning, weak coupling between reconstruction and task (segmentation) leading to downstream errors, inconsistent metadata and cross-vendor differences that hinder reproducibility, and insufficient evaluation across a broad range of realistic respiratory waveforms and severities.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Respiratory motion degrades cardiac cine MRI and reduces the accuracy of automated myocardial segmentation and derived clinical metrics such as left ventricular ejection fraction (EF). We propose a physics-informed unrolled reconstruction network that explicitly ingests k-space readouts and coil sensitivities, predicts per-readout motion fields (rigid + low-dimensional nonrigid) supervised by waveform-derived ground truth, and is trained jointly with a segmentation head to directly optimize clinical labels. The main contribution is integrating per-readout motion supervision into an unrolled reconstruction pipeline and linking reconstruction objectives to segmentation losses, producing images and masks optimized for downstream clinical measures. We will evaluate on a controlled-motion simulated dataset and a small paired in-vivo pilot to quantify synthetic-to-real generalization. Expected outcomes are improved segmentation Dice and reduced EF error under varied respiratory patterns, a reproducible baseline container and evaluation suite, and a documented analysis of failure modes. The approach aims to provide a benchmarked, task-aware reconstruction strategy for motion-robust cardiac MRI analysis.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Simulated controlled-motion CMRxMotion dataset: 1000 short-axis cine volumes with paired static ground-truth, per-readout motion logs (translations, rotations, B-spline nonrigid coefficients), three vendors' sampling trajectories (Cartesian, golden-angle radial, spiral), and waveform classes (regular, irregular, sighs, hysteresis). (2) Phantom dataset: 100 acquisitions with programmable waveforms and known motion. (3) In-vivo pilot: 20 subjects with paired breath-hold reference and free-breathing navigator-resolved acquisitions. Baselines: (A) vendor/default reconstruction + off-the-shelf segmentation (e.g., nnUNet); (B) unrolled reconstruction without motion supervision + segmentation (sequential training); (C) unrolled reconstruction with motion estimation self-supervised (no ground-truth motion) + segmentation. Proposed method: joint unrolled reconstruction + supervised per-readout motion estimation + segmentation. Metrics: segmentation Dice for LV cavity, RV, and myocardium; Hausdorff distance 95% (HD95); LV end-diastolic/systolic volumes (EDV/ESV) absolute error (mL); EF absolute error (%); PSNR and SSIM vs static ground-truth; motion estimation RMSE for translation (mm) and deformation coefficients; runtime (s/volume) and peak memory; uncertainty calibration (expected calibration error for EF). Experimental setup: train/val/test = 800/100/100 simulated volumes; include vendor-stratified folds; fine-tune on phantom then test on in-vivo pilot (20 subjects) without motion labels. Use fixed random seeds and containerized environments. Optimization: Adam, learning rate schedule, early stopping on validation EF error. Ablations: (1) joint vs sequential training; (2) supervised motion vs self-supervised motion; (3) nonrigid parameterization comparison: B-spline control mesh vs PCA modes (report coefficient ranges); (4) include/exclude k-space data-consistency term. Statistical analysis: bootstrap 95% CI for metrics, paired t-test for EF errors between methods, and robustness curves stratified by respiratory amplitude and irregularity.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Domain gap: models trained on simulated waveforms may not generalize to in-vivo variability, causing over-optimistic results on simulated test data. Motion ground-truth fidelity: phantom and simulator errors in nonrigid parameterization (choice of B-spline knot spacing or PCA basis) can bias supervised motion learning. Vendor variability: timing and trajectory mismatches across vendors may reduce reproducibility. Compute and runtime: unrolled models with motion fields are computationally heavy and may not meet clinical latency constraints. Annotation variability: inter-reader differences in segmentation labels (ground truth) can limit achievable Dice and affect EF accuracy. Severe nonrecoverable motion: extreme, nonperiodic motion or large through-plane motion may break the model assumptions and yield large errors. Privacy and data sharing: handling k-space and per-readout metadata requires careful de-identification and IRB approvals that may limit data availability. Statistical power: small in-vivo pilot may be insufficient to conclusively measure synthetic-to-real generalization; larger cohorts would be needed for definitive claims.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