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disentangled_anatomy_pseudohealthy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Unsupervised brain MRI anomaly detection via disentangled anatomy learning and pseudo-healthy reconstruction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Learning a disentangled representation that separates per-pixel anatomy maps from global imaging appearance and using edge-derived anatomy to reconstruct pseudo-healthy MRIs will improve voxel-level lesion localization and reduce false positives compared to reconstruction-only baselines when trained solely on healthy controls.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unsupervised MRI anomaly detection methods typically fall into four groups: reconstruction-based autoencoders/VAEs that flag anomalies via reconstruction error; generative-adversarial methods (e.g., f-AnoGAN style) that map images to a latent space and detect outliers; one-class and deep-SVDD style embedding methods that learn a compact healthy distribution; and patch- or feature-based detectors using local statistics or classical z-score thresholding. Structured or spatial VAEs that produce per-pixel maps (anatomy-like maps) have been proposed to give spatially organized latents, but they often suffer from posterior collapse (the latent carries little information) or over-smoothing that blurs lesions. Synthetic-lesion augmentation has been used to improve sensitivity but can introduce bias if lesion realism is poor. Multi-site variability and intensity harmonization remain unresolved: many models are sensitive to scanner differences, producing false positives or site-dependent latents. Total-correlation (TC) and contrastive invariance have been applied to improve disentanglement but require careful batch sizes and tuning. Overall limitations are poor localization accuracy on subtle anomalies, vulnerability to site/scanner confounds, reliance on labeled anomalies for fine-tuning, and lack of standardized baselines and statistical power analysis.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unsupervised detection of brain MRI anomalies by separating anatomy from imaging appearance and reconstructing pseudo-healthy images from anatomy-derived high-frequency cues. The method learns a spatial anatomy branch that outputs multi-channel per-pixel maps encoding tissue shape, and a global appearance vector that captures contrast and texture. An edge-to-image restoration module reconstructs high-quality pseudo-healthy MRIs from anatomy edges while reintroducing imaging appearance, so that abnormal residuals stand out. Main contributions are (1) a disentangled anatomy–appearance training objective constrained by anatomical priors and one-hot-like per-pixel channels, (2) an edge-conditioned pseudo-healthy reconstruction to preserve structural detail while suppressing anomalies, and (3) a systematic evaluation plan including harmonization ablations, synthetic-lesion realism checks, and leakage diagnostics. Expected outcome is improved voxel-wise localization and lower false-positive rates across modalities and acquisition sites. The approach is designed to be trained only on healthy controls, enabling scalable unsupervised anomaly detection without lesion annotations.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Train only on healthy controls drawn from multiple sources (e.g., ADNI, OASIS, plus site-stratified local controls). Evaluate on held-out pathology cohorts: BraTS (tumors), ISLES and ATLAS (ischemic stroke), an MS lesion dataset, and a curated multi-site set with small/subtle lesions. Baselines: vanilla AE and VAE (reconstruction error), f-AnoGAN style latent mapping, deep-SVDD (one-class embedding), patch-based local z-score maps, intensity-thresholding, and per-voxel WhiteStripe z-score. Metrics: image-level AUROC and AUPRC; voxel-wise ROC AUC and Dice; lesion-wise FROC (sensitivity vs false-positives-per-scan) and FROC-AUC; calibration measures (Brier score, ECE); and false-positive rate at fixed sensitivity thresholds (e.g., 90% sensitivity). Experimental setup: preprocess all scans with denoising (MP-PCA), N4 bias correction, skull-stripping, rigid+affine registration to a template, and intensity normalization (WhiteStripe). Train models on healthy sets only, reserve site-held-out test sets for leave-one-site-out validation, and run external validation on entirely unseen sites. Ablations: (A) harmonization on vs off (ComBat), (B) anatomy channel counts (C={4,8,16}), (C) TC penalty present vs absent, (D) beta-VAE weight swept over [0.1,1,5], (E) with and without synthetic pseudo-lesions, (F) edge-to-image restoration vs direct reconstruction. Leakage diagnostics: train lightweight classifiers on A(x) and z to predict site and pathology; report classifier AUROC and require near-chance performance for pass. Synthetic-lesion validation: blinded expert ratings comparing synthetic vs real lesions on intensity, texture, and shape distributions. Statistical reporting: bootstrap 95% CIs for all metrics, DeLong test for AUC comparisons, and report sample sizes per split. Implementation details: use SPADE/FiLM conditioning in the decoder, optional Gumbel-Softmax temperature schedule, and Mahalanobis distance in z-space for OOD scoring. Reproducibility: fixed seeds, BIDS data layout, and containerized runs.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anatomy collapse (anatomy maps carry no shape info) or posterior collapse (z carries no info), over-smoothing of reconstructions that hides small lesions, and instability of TC estimators for small batch sizes. Data and evaluation biases: harmonization may remove true pathology contrast; synthetic lesions can bias detectors if not realistic; curated evaluation sets may not reflect clinical case mix. Confounds and leakage: anatomy maps or z may inadvertently encode site or scanner identifiers, causing spurious detection differences across centers. Scalability and compute: training structured spatial decoders with high-resolution anatomy maps is memory-intensive and may require multi-GPU setups; runtime may be limiting for rapid triage. Generalization limits: method may under-detect very small, diffuse, or contrast-free abnormalities and may not transfer across unseen modalities without re-tuning. Clinical limits: calibrated probability thresholds and clinical utility need prospective validation before deployment.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