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testing algorithm-driven personalized nutrition versus generic digital lifestyle advice for weight change in adults with overweight or obesity</w:t>
      </w:r>
    </w:p>
    <w:p>
      <w:r>
        <w:t xml:space="preserve"> </w:t>
      </w:r>
    </w:p>
    <w:p>
      <w:pPr>
        <w:pStyle w:val="Heading2"/>
      </w:pPr>
      <w:r>
        <w:t>Short Hypothesis</w:t>
      </w:r>
    </w:p>
    <w:p>
      <w:r>
        <w:t>Adults with overweight or obesity who receive algorithm-driven, adaptive personalized nutrition delivered fully remotely will have a greater mean reduction in body weight at 6 months than adults who receive generic digital lifestyle advice.</w:t>
      </w:r>
    </w:p>
    <w:p>
      <w:r>
        <w:t xml:space="preserve"> </w:t>
      </w:r>
    </w:p>
    <w:p>
      <w:pPr>
        <w:pStyle w:val="Heading2"/>
      </w:pPr>
      <w:r>
        <w:t>Related Work</w:t>
      </w:r>
    </w:p>
    <w:p>
      <w:r>
        <w:t>Prior work includes digital weight-loss programs delivered via apps or web platforms, trials of personalized nutrition based on metabolic or microbiome profiles, and remote studies using connected devices for outcome capture. Limitations of existing approaches are: many studies use small samples or short follow-up; personalization methods are often opaque, not auditable, or tested only in clinic settings; several personalized nutrition findings (for example using microbiome or glycemic-response personalization) have limited replication and generalizability; remote trials often rely on self-report without validated remote anthropometric protocols; heterogeneity of treatment effects is rarely explored with robust causal methods; and equity analyses (differential engagement or outcomes by socioeconomic or racial groups) are infrequent. These gaps leave unresolved whether fully remote, auditable, adaptive personalization can produce measurable weight change and whether self-collected home measures are reliable for trial endpoints.</w:t>
      </w:r>
    </w:p>
    <w:p>
      <w:r>
        <w:t xml:space="preserve"> </w:t>
      </w:r>
    </w:p>
    <w:p>
      <w:pPr>
        <w:pStyle w:val="Heading2"/>
      </w:pPr>
      <w:r>
        <w:t>Abstract</w:t>
      </w:r>
    </w:p>
    <w:p>
      <w:r>
        <w:t>Problem: It is unknown whether fully remote, algorithm-driven personalized nutrition can be delivered at scale and produce measurable weight change using self-collected home data. Approach: We propose a fully remote, two-arm randomized controlled trial comparing an app-delivered, adaptive personalized nutrition program (algorithm plus coaching) to a standard generic digital lifestyle advice control. All participants use connected scales for automated weight uploads and follow a 6-month primary endpoint with 12-month follow-up. Main contribution: The study evaluates feasibility of do-it-yourself anthropometrics, auditable personalization rules, and whether self-collected data detect clinically meaningful weight change. Expected outcome: We expect the personalized arm to show greater mean weight loss at 6 months and to demonstrate that remote self-measurement and algorithmic personalization are feasible and analyzable for regulatory-grade evaluation and future scale-up.</w:t>
      </w:r>
    </w:p>
    <w:p>
      <w:r>
        <w:t xml:space="preserve"> </w:t>
      </w:r>
    </w:p>
    <w:p>
      <w:pPr>
        <w:pStyle w:val="Heading2"/>
      </w:pPr>
      <w:r>
        <w:t>Experiments</w:t>
      </w:r>
    </w:p>
    <w:p>
      <w:r>
        <w:t>Design: Randomized, parallel-group, two-arm trial, 1:1 allocation, stratified by baseline BMI category (25–29.9, 30–34.9, &gt;=35 kg/m2) and sex. Primary population: adults 18–70 years with BMI &gt;=25 kg/m2 and smartphone access. Sample sizes: feasibility pilot n=80 (to validate remote measures), main trial n=480 randomized (240 per arm) allowing ~20% attrition. Data collection schedule: baseline, 3, 6 (primary), and 12 months. Interventions: Intervention arm = algorithm-driven personalized nutrition with adaptive updates plus app coaching; Control arm = standard nonpersonalized digital lifestyle advice. Nested A/B (ablation): within the intervention arm, randomize 1:1 to adaptive personalization (regular algorithm updates based on streamed data) vs static personalization (single baseline-personalized plan without adaptive updates) to isolate effect of adaptation. Datasets: participant-reported demographics and medical history; connected scale weight streams (automated); self-measured waist circumference following standardized video instructions; app food logs; optional CGM or dried blood spot (DBS) biomarkers where consented; engagement logs (app sessions, module completion). Baselines for comparison: active control as above; per-protocol subset (participants with &gt;=70% expected scale uploads) as secondary. Evaluation metrics: Primary metric = mean change in body weight (kg) at 6 months from connected scales. Secondary metrics = percent achieving &gt;=5% weight loss (binary), mean change in waist circumference (cm), diet quality score (e.g., Healthy Eating Index, HEI), mean daily steps (or activity minutes), HbA1c change (from DBS where available), and engagement metrics (weekly active days, module completion rate). Statistical analysis: primary analysis = intention-to-treat using linear mixed-effects model (explained: model that accounts for repeated measures per person) with fixed effects for treatment, time, treatment-by-time, stratification factors, and baseline covariates; random intercepts per participant. Missing data: primary model assumes missing at random (handled by maximum likelihood); sensitivity analyses include multiple imputation and delta-adjustment (pattern-mixture) for missing-not-at-random scenarios. Heterogeneity and personalization evaluation: estimate conditional average treatment effects (CATE) using causal forest methods (explained: algorithm to estimate how treatment effect varies by participant features) and report subgroup estimates by insulin-resistance status (HOMA-IR where available), sex, and BMI strata. Comparison/ablation studies: 1) adaptive vs static personalization within intervention arm (primary ablation); 2) intervention vs control (main comparison). Power assumptions: detect between-arm difference of 2.5 kg at 6 months, pooled SD 6 kg, two-sided alpha=0.05 with 240 per arm yields &gt;90% power for primary; report exact inputs in protocol. Pre-specification: gatekeeping order places primary test first, then key secondary outcomes if primary is significant. Outcomes reported with 95% confidence intervals. Auditing: store versioned algorithm decision logs (JSON) for reproducibility and post-hoc policy evaluation using inverse probability weighting (explained: method to estimate what would have happened under different policies).</w:t>
      </w:r>
    </w:p>
    <w:p>
      <w:r>
        <w:t xml:space="preserve"> </w:t>
      </w:r>
    </w:p>
    <w:p>
      <w:pPr>
        <w:pStyle w:val="Heading2"/>
      </w:pPr>
      <w:r>
        <w:t>Risk Factors And Limitations</w:t>
      </w:r>
    </w:p>
    <w:p>
      <w:r>
        <w:t>Measurement error: self-measured waist circumference and home scale use may be inconsistent; some participants may misapply protocols leading to noisy outcomes. Data completeness and attrition: unequal missingness (for example lower upload rates among lower-SES participants) can bias estimates and reduce power. Selection bias: requiring a smartphone and willingness to perform home measurements limits generalizability to digitally connected populations. Algorithmic bias: personalization models trained on trial data may perform worse for underrepresented subgroups, producing unequal benefits (limited subgroup sample sizes restrict fairness assessment). Limited biomarker uptake: optional CGM or DBS participation may be low, reducing power for mechanistic analyses. Technical failure modes: app crashes, sensor connectivity loss, or data transmission failures can interrupt intervention delivery and outcome capture. Regulatory classification: the personalization algorithm may be classified as a medical device in some jurisdictions, complicating deployment. Statistical limits: even with n=480, power for many subgroup analyses or rare adverse events is limited. Causal inference limits: unmeasured confounding in post-randomization adherence-mediated analyses can limit causal claims about mechanisms. Scalability constraints: coaching resources and language/low-tech adaptations require budget and staffing not tested in this trial.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