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chromogenic_absorp_spectro_gbs_poct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Quantitative specific-absorption spectroscopy of chromogenic culture pigment for rapid point-of-care identification of Group B Streptococcus colonization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Converting chromogenic culture pigment absorption measurements into a calibrated electrical and computed variable will identify Group B Streptococcus colonization from recto-vaginal swabs with sensitivity and specificity ≥95% versus a composite reference of enriched culture plus confirmatory molecular/WGS testing.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rapid GBS detection fall into two main groups: culture-based chromogenic media and nucleic-acid amplification tests (NAATs). Chromogenic media produce colored pigments when GBS grows; current use is visual reading or plate-based spectrophotometry in labs, which is slow and subjective (visual read); it requires overnight enrichment for best sensitivity. NAATs (PCR, isothermal methods) give faster molecular detection and high sensitivity but need instrument complexity, reagent cold chain, and can fail on single-gene targets (e.g., cfb deletions), causing false negatives. Point-of-care NAAT devices exist but often trade off speed, cost, or breadth (serotype/resistance). Prior device efforts emphasize lab sensitivity and quick readouts but face challenges in closed-cartridge engineering, inhibitor tolerance for direct swabs, and regulatory validation. Limitations: visual chromogenic read is qualitative and operator-dependent; NAAT single-locus designs risk missed variants; few solutions offer quantitative conversion of pigment signal into standardized, validated outputs suitable for intrapartum decision-making.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Group B Streptococcus (GBS) colonization in pregnant women is a key determinant of neonatal infection risk; current screening relies on lab culture or molecular tests that are either slow or require complex instruments. We propose a rapid point-of-care test that measures pigment produced on chromogenic culture media using specific absorption spectroscopy (measuring how much light the pigment absorbs) and converts that optical signal into an electrical/computed variable that quantitatively correlates with GBS concentration. The main contribution is an end-to-end method that maps pigment absorption to colony-forming units per swab (CFU/swab) via calibration curves and a defined decision algorithm to return actionable positive/negative results within an intrapartum time window. Expected outcomes include a validated analytical limit of detection comparable to enriched culture, clinical sensitivity and specificity ≥95% versus composite reference, and a workflow compatible with recto-vaginal swabs at the bedside. Impact: enable timely intrapartum prophylaxis decisions where standard lab turnaround is infeasible, with reproducible quantitative outputs rather than subjective color reads.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Analytical validation: 1) LOD determination using contrived swabs spiked with cultured GBS across serial ten-fold dilutions from 10^5 to 10^1 CFU/swab in GBS-negative clinical matrix (vaginal mucus) with 20 replicates per dilution. Report LOD as lowest concentration with ≥95% detection. 2) Linearity and calibration: measure absorption signal vs CFU for 10^2–10^6 CFU/swab, compute calibration curve, slope, R^2, and limit of quantitation. 3) Inhibitor tolerance: test spiked swabs with added blood, meconium, and topical antiseptic at clinically relevant levels (n=10 each). Analytical exclusivity/inclusivity: test panel of ≥50 strains representing serotypes Ia–IX including ST-17 and known cfb-negative variants, and 30 non-GBS species (S. dysgalactiae, S. pyogenes, Lactobacillus, Gardnerella, Enterococcus, Staph aureus, E. coli, Ureaplasma/Mycoplasma). Clinical validation: prospective multi-site study enrolling 1,200 pregnant women (recto-vaginal swabs at 35–37 weeks and a separate intrapartum cohort of 400 unknown-status admissions) with paired testing: (A) proposed chromogenic-absorption POCT, (B) enriched selective broth culture with subculture + MALDI-TOF/WGS for discrepants, and (C) a dual-target NAAT (cfb + sip) as molecular baseline. Primary metrics: sensitivity, specificity (Clopper-Pearson 95% CI), positive/negative predictive values, time-to-result, indeterminate rate, and reproducibility across sites/lots (kappa and percent agreement). Statistical targets: ≥95% sensitivity and specificity vs composite reference. Comparison/ablation studies: (1) decision-rule ablation: evaluate three calling rules — both-target concordance requirement, either-target positive, and weighted scoring (absorption signal threshold + single-target NAAT) — via simulation and on clinical positives including cfb-negative cases; report effect on sensitivity/specificity. (2) Timing ablation: measure per-step timing (collection, lysis, incubation, readout) on 100 real swabs and report fraction completing ≤30 min. (3) Calibration ablation: compare performance using lab-prepared calibration vs on-device per-batch calibration. Data analysis: compute LOD, calibration RMSE, ROC for semi-quantitative thresholds, subgroup analyses by serotype and inhibitor presence, and discrepant adjudication by WGS.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pigment yield variability between strains or serotypes causing weak absorption signals; poor correlation between pigment concentration and viable CFU in mixed flora; optical interference from blood or mucus increasing false negatives/positives. Decision-rule tradeoffs: requiring dual-target concordance may reduce sensitivity if pigment mapping is accurate but molecular target dropout occurs; either-positive rules increase false positives. Data/evaluation biases: clinical cohorts may have prevalence different from target populations (affects predictive values); contrived spiking may not mimic natural colonization distribution. Scalability limits: instrument optical calibration drift, lot-to-lot reagent variability, and lyophilized reagent stability under high-temperature supply chains. Generalization limits: performance validated on recto-vaginal swabs at 35–37 weeks may not extend to other specimen types or neonatal samples. Regulatory and operational constraints: proving equivalence to enriched culture without enrichment may be contentious for regulators; intrapartum time constraints (&lt;30 min) may be hard to meet under all clinical workflows. Cost and adoption: per-test cost, training needs, and EMR integration requirements may limit uptake in low-resource settings.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