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tin_provenance_sn_pb_trace</w:t>
      </w:r>
    </w:p>
    <w:p>
      <w:r>
        <w:t xml:space="preserve"> </w:t>
      </w:r>
    </w:p>
    <w:p>
      <w:pPr>
        <w:pStyle w:val="Heading2"/>
      </w:pPr>
      <w:r>
        <w:t>Title</w:t>
      </w:r>
    </w:p>
    <w:p>
      <w:r>
        <w:t>Integration of lead and tin isotopes with trace-element chemistry to identify tin sources in southern African bronzes, ca. 1200–1800 CE</w:t>
      </w:r>
    </w:p>
    <w:p>
      <w:r>
        <w:t xml:space="preserve"> </w:t>
      </w:r>
    </w:p>
    <w:p>
      <w:pPr>
        <w:pStyle w:val="Heading2"/>
      </w:pPr>
      <w:r>
        <w:t>Short Hypothesis</w:t>
      </w:r>
    </w:p>
    <w:p>
      <w:r>
        <w:t>If the primary tin in southern African bronzes was imported from Indian Ocean cassiterite sources, then bronze Sn isotope ratios and trace-element signatures will match Indian Ocean ore references more often and with higher probability than local or central/West African ore references.</w:t>
      </w:r>
    </w:p>
    <w:p>
      <w:r>
        <w:t xml:space="preserve"> </w:t>
      </w:r>
    </w:p>
    <w:p>
      <w:pPr>
        <w:pStyle w:val="Heading2"/>
      </w:pPr>
      <w:r>
        <w:t>Related Work</w:t>
      </w:r>
    </w:p>
    <w:p>
      <w:r>
        <w:t>Existing provenance studies use (1) lead isotope analysis of high-Pb objects, (2) trace-element fingerprinting using solution or laser ICP-MS, and (3) emerging tin isotope ratio analysis. Lead isotope provenancing (measuring ratios of Pb isotopes to match ores) works well when objects contain substantial Pb but fails for low-Pb bronzes. Trace-element approaches can separate some ore fields but are sensitive to alloying, dilution by copper, and recycling. Tin isotope work shows promise for tin source discrimination but is limited by small reference databases, analytical variability, and possible fractionation during smelting and recycling. In-situ laser methods enable spatial resolution but introduce matrix-related fractionation and lower precision compared with chemically purified bulk isotope measurement. Statistical integration of multiple proxies is underdeveloped; many studies lack robust ore reference coverage, intra-object replication, inter-lab QA/QC, and probabilistic models that account for mixing or unrepresented sources.</w:t>
      </w:r>
    </w:p>
    <w:p>
      <w:r>
        <w:t xml:space="preserve"> </w:t>
      </w:r>
    </w:p>
    <w:p>
      <w:pPr>
        <w:pStyle w:val="Heading2"/>
      </w:pPr>
      <w:r>
        <w:t>Abstract</w:t>
      </w:r>
    </w:p>
    <w:p>
      <w:r>
        <w:t>This project addresses the problem of identifying geographic sources of tin used in southern African bronzes dated 1200–1800 CE by integrating three geochemical proxies: tin (Sn) isotopes, lead (Pb) isotopes, and trace-element chemistry. We propose a multi-stage analytical workflow: non-destructive alloy screening, microstructural mapping, trace-element mapping, and high-precision isotopic measurement on chemically purified fractions. The main contribution is a probabilistic, multi-proxy provenance model that combines Sn and Pb isotope ratios with compositional fingerprints to estimate source contributions and quantify uncertainty, explicitly allowing for recycling and unknown sources. Expected outcomes are (1) an open, georeferenced ore and artifact database, (2) posterior probability assignments of likely tin sources per object, and (3) quantitative estimates of mixing and recycling. Results will clarify the roles of imported versus local tin and provide statistically defensible provenance statements useful for archaeological interpretation and heritage stakeholders.</w:t>
      </w:r>
    </w:p>
    <w:p>
      <w:r>
        <w:t xml:space="preserve"> </w:t>
      </w:r>
    </w:p>
    <w:p>
      <w:pPr>
        <w:pStyle w:val="Heading2"/>
      </w:pPr>
      <w:r>
        <w:t>Experiments</w:t>
      </w:r>
    </w:p>
    <w:p>
      <w:r>
        <w:t>Datasets: artifact set n=153 bronzes/ingots spanning 1200–1800 CE with archaeological context; ore reference set target 5–10 independent samples per candidate source region (Bangka/Belitung, Malay Peninsula, central/West Africa, any southern African occurrences); modern/archaeological ingot references where available. Sampling: for each artifact obtain &gt;=2–3 spatially separated micro-drill spots plus one bulk extract when material permits; document mass and depth of each drill. Analytical pipeline: pXRF screening (major elements), SEM-EDS mapping (microstructure), LA-ICP-MS trace-element mapping (In, Sb, Bi, Ag, Pb, W, Mo, Zn, Cu; report detection limits), solution ICP-MS for trace-element quantification on selected spots, Sn isotope measurement by double-spike MC-ICP-MS on chemically purified Sn fractions (report 2SE), Pb isotope measurement by TIMS or MC-ICP-MS after Pb separation for samples with Pb &gt;200–300 ppm. Baselines: three baseline models: (A) isotopes-only (Sn+Pb), (B) trace-elements-only, (C) combined multi-proxy hierarchical Bayesian mixing model with explicit 'unknown' end-member. Comparisons and ablations: (1) full model vs isotopes-only vs trace-only, (2) multi-spot (within-object) data vs single-spot data, (3) with and without Pb isotope data for low-Pb objects, (4) leave-one-source-out cross-validation (remove one ore field from references). Statistical methods: hierarchical Bayesian mixing implemented in Stan with archaeological priors as optional covariates; compositional data transforms (centered log-ratio) for trace elements; clustering (Gaussian mixtures) to define compositional groups. Evaluation metrics: classification accuracy of dominant source (for artifacts with known provenance), posterior mean absolute error (MAE) of source proportion estimates, coverage of 95% credible intervals, posterior entropy and Brier score (probability calibration), silhouette score for cluster validity, and leave-one-out predictive log-likelihood. Validation: inter-lab round-robin on a subset (&gt;=10% of samples) and direct comparison between LA in-situ Sn measurements and chemically purified double-spike bulk Sn on the same spots. Reporting: full metadata, analytical uncertainties, and model code.</w:t>
      </w:r>
    </w:p>
    <w:p>
      <w:r>
        <w:t xml:space="preserve"> </w:t>
      </w:r>
    </w:p>
    <w:p>
      <w:pPr>
        <w:pStyle w:val="Heading2"/>
      </w:pPr>
      <w:r>
        <w:t>Risk Factors And Limitations</w:t>
      </w:r>
    </w:p>
    <w:p>
      <w:r>
        <w:t>Incomplete or biased ore reference database may cause misassignment or inflate 'unknown' probability. Recycling and blending of metals can produce mixed signatures that reduce discrimination between sources. Low Pb contents in many bronzes limit the use of Pb isotopes. Tin isotope values can fractionate during smelting, casting, or recycling, complicating direct ore-to-artifact matches. In-situ LA-MC-ICP-MS measurements may suffer matrix fractionation and lower precision than purified bulk methods. Museum or community sampling restrictions may reduce sample numbers or prevent replication. Inter-laboratory variability and procedural blank levels can affect comparability. Small sample counts per chronological/geographic cell reduce statistical power to detect spatial or temporal patterns. Model results depend on prior choices and cannot fully exclude unrepresented or unknown ore fields.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