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phnom_dek_slag_trajectories</w:t>
      </w:r>
    </w:p>
    <w:p>
      <w:r>
        <w:t xml:space="preserve"> </w:t>
      </w:r>
    </w:p>
    <w:p>
      <w:pPr>
        <w:pStyle w:val="Heading2"/>
      </w:pPr>
      <w:r>
        <w:t>Title</w:t>
      </w:r>
    </w:p>
    <w:p>
      <w:r>
        <w:t>Multi-proxy experimental and analytical reconstruction of slag signatures to map technological trajectories in iron smelting at Phnom Dek (7th–20th century CE)</w:t>
      </w:r>
    </w:p>
    <w:p>
      <w:r>
        <w:t xml:space="preserve"> </w:t>
      </w:r>
    </w:p>
    <w:p>
      <w:pPr>
        <w:pStyle w:val="Heading2"/>
      </w:pPr>
      <w:r>
        <w:t>Short Hypothesis</w:t>
      </w:r>
    </w:p>
    <w:p>
      <w:r>
        <w:t>If smelters at Phnom Dek deliberately added Ca-bearing fluxes and changed charcoal fuel species over time, then slag basicity (CaO/SiO2), K/Ca ratios, Fe2+/Fe3+ ratios, and diagnostic microstructures will shift systematically between stratigraphic phases and match experimental reference slags produced with those inputs.</w:t>
      </w:r>
    </w:p>
    <w:p>
      <w:r>
        <w:t xml:space="preserve"> </w:t>
      </w:r>
    </w:p>
    <w:p>
      <w:pPr>
        <w:pStyle w:val="Heading2"/>
      </w:pPr>
      <w:r>
        <w:t>Related Work</w:t>
      </w:r>
    </w:p>
    <w:p>
      <w:r>
        <w:t>Previous work on archaeometallurgy has combined slag petrology, bulk geochemistry, limited experimental smelts, and regional comparisons to infer changes in ironmaking recipes. Existing approaches established that fayalite and other silicate phases reflect operating conditions and that bulk Ca, P, Mn, and alkali contents can indicate flux and fuel inputs. Limitations remain: sampling has often been small or poorly stratified so intra‑feature variability is under‑quantified; Fe2+/Fe3+ (iron redox) is rarely measured robustly in heterogeneous glass–crystal mixtures, weakening redox and temperature inferences; inter-lab standardization and QA/QC for high-Fe slags are inconsistent; experiments are frequently low-replicate or incomplete in the variable matrix of ore, flux, fuel, and tuyere settings; isotopic and multivariate provenance methods are not routinely integrated with phase-specific microanalysis; and chronological control is often limited or not formally modeled. These gaps reduce confidence in assigning observed slag signatures to specific process changes versus taphonomic or raw-material mixing effects.</w:t>
      </w:r>
    </w:p>
    <w:p>
      <w:r>
        <w:t xml:space="preserve"> </w:t>
      </w:r>
    </w:p>
    <w:p>
      <w:pPr>
        <w:pStyle w:val="Heading2"/>
      </w:pPr>
      <w:r>
        <w:t>Abstract</w:t>
      </w:r>
    </w:p>
    <w:p>
      <w:r>
        <w:t>This project tests whether changes in slag chemistry and microstructure at Phnom Dek reflect deliberate changes in smelting recipes (flux and fuel) from the 7th to 20th centuries. We combine systematic, stratified sampling of archaeological slags and metal fragments with a controlled experimental smelting matrix and multi-technique lab analyses to create a reference library of process-linked signatures. Key methods: macroscopic/petrographic description, SEM/EDS mapping, XRD, EPMA/LA-ICP-MS for major and trace chemistry, micro-XANES or Mössbauer for Fe2+/Fe3+ (iron redox), Pb/Sr/Nd isotopes for provenance, and thermodynamic modeling (FactSage) to infer temperature and oxygen fugacity (fO2). Experiments use a fractional factorial design varying ore type, flux, charcoal species, tuyere rate, and furnace geometry with replication. Expected contribution: a reproducible set of diagnostic markers and a validated database that links recipes to slag signatures, enabling statistically supported mapping of technological trajectories at Phnom Dek and informing broader studies of long-term metallurgical change. The outcome will be testable groupings of recipes tied to secure chronology.</w:t>
      </w:r>
    </w:p>
    <w:p>
      <w:r>
        <w:t xml:space="preserve"> </w:t>
      </w:r>
    </w:p>
    <w:p>
      <w:pPr>
        <w:pStyle w:val="Heading2"/>
      </w:pPr>
      <w:r>
        <w:t>Experiments</w:t>
      </w:r>
    </w:p>
    <w:p>
      <w:r>
        <w:t>Datasets: (1) Archaeological: stratified collection of slag and metal from Phnom Dek, targeting 4 primary stratigraphic phases; per phase minimum: 18 slag samples (diverse textures: tap slags, flow layers, slag cakes), 6 metal/bloom fragments, and 6 charcoal samples for AMS. Total archaeological target ≈ (4 phases) 72 slags, 24 metals, 24 AMS. Record orientation, context, associated artefacts, and sediment samples for OSL. (2) Experimental: fractional factorial matrix selecting 36 cells covering combinations of ore type (siliceous, calcareous, phosphatic), flux (none, limestone, shell), charcoal species (3 local types), tuyere rate (low/medium), furnace geometry (2 types); replicate each cell 3 times → 108 runs; include 12 control runs (no flux) and 10 blind inter-lab replicates. Analytical pipeline per sample: macroscopic imaging, thin section petrography, SEM/EDS maps, XRD (powder) for phases, EPMA for major elements in crystals, LA-ICP-MS for trace elements, micro-XANES or Mössbauer for Fe2+/Fe3+, EBSD where needed for fine phases, Pb/Sr/Nd isotopes on suitable silicate/metal prills, AMS/OSL for dating. Baselines: (A) portable XRF screening only; (B) standard lab major-element workflow without Fe2+/Fe3+ speciation or isotopes. Ablation study: compare full pipeline vs pipeline minus (i) Fe2+/Fe3+ speciation and (ii) isotope data to quantify loss in classification power. Decision tree for destructive analysis: priority 1 — representative textures from each feature and phase; priority 2 — metal‑slag interfaces; priority 3 — remaining material. Evaluation metrics: clustering validity (silhouette score), discrimination power (linear discriminant analysis and random forest classification accuracy with 5-fold cross-validation), Bayesian posterior probabilities for source attribution, thermodynamic model residuals (RMSE between observed and modeled phase proportions), and chronological phase agreement (OxCal agreement index). Success criteria: (1) recover ≥0.90 classification accuracy distinguishing flux/no-flux and charcoal types in experimental set; (2) archaeological samples cluster with experimental reference groups with posterior probability ≥0.8; (3) Fe2+/Fe3+-inclusive models show statistically significant improvement (p&lt;0.05) over Fe2+/Fe3+-excluded models.</w:t>
      </w:r>
    </w:p>
    <w:p>
      <w:r>
        <w:t xml:space="preserve"> </w:t>
      </w:r>
    </w:p>
    <w:p>
      <w:pPr>
        <w:pStyle w:val="Heading2"/>
      </w:pPr>
      <w:r>
        <w:t>Risk Factors And Limitations</w:t>
      </w:r>
    </w:p>
    <w:p>
      <w:r>
        <w:t>Permitting and destructive-sample limits from local authorities may reduce sample counts and bias results toward non-destructive data. Fe2+/Fe3+ quantification in mixed glass–crystal matrices is technically difficult; micro-XANES or Mössbauer may be limited by instrument access and spot size, producing sparse redox data. LA-ICP-MS and EPMA face matrix effects for high-Fe glasses; synthetic matrix-matched standards are required and may not fully remove uncertainty. Isotopic signatures (Pb/Sr/Nd) can be mixed by multiple ore sources or anthropogenic contamination, limiting provenance resolution. Bayesian chronological models are sensitive to old-wood (reservoir) effects in charcoal and to uneven dating density across phases. Experimental smelts, even replicated, may not capture all ancient operational variability (operator skill, undocumented fluxes), so reference signatures may be incomplete. Costs and time for the full experimental matrix and isotopic analyses are high and may constrain scale. Findings are site-specific and may not generalize to other regions without comparable reference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