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composite_bow_reassessment</w:t>
      </w:r>
    </w:p>
    <w:p>
      <w:r>
        <w:t xml:space="preserve"> </w:t>
      </w:r>
    </w:p>
    <w:p>
      <w:pPr>
        <w:pStyle w:val="Heading2"/>
      </w:pPr>
      <w:r>
        <w:t>Title</w:t>
      </w:r>
    </w:p>
    <w:p>
      <w:r>
        <w:t>Integrating iconographic, material, experimental, and genetic evidence to reassess the origins and diffusion of the full (horn–wood–sinew) composite bow in Bronze–Iron Age Eurasia</w:t>
      </w:r>
    </w:p>
    <w:p>
      <w:r>
        <w:t xml:space="preserve"> </w:t>
      </w:r>
    </w:p>
    <w:p>
      <w:pPr>
        <w:pStyle w:val="Heading2"/>
      </w:pPr>
      <w:r>
        <w:t>Short Hypothesis</w:t>
      </w:r>
    </w:p>
    <w:p>
      <w:r>
        <w:t>If the full composite bow originated in a single Late Bronze Age region and then spread across Eurasia, then directly dated composite components and their material signatures (adhesive chemistry and animal-species proteomic markers) will be earliest and more homogeneous in that origin region and will show systematic chronological and compositional gradients outward; otherwise, earliest dates and distinct material recipes will appear independently in multiple regions.</w:t>
      </w:r>
    </w:p>
    <w:p>
      <w:r>
        <w:t xml:space="preserve"> </w:t>
      </w:r>
    </w:p>
    <w:p>
      <w:pPr>
        <w:pStyle w:val="Heading2"/>
      </w:pPr>
      <w:r>
        <w:t>Related Work</w:t>
      </w:r>
    </w:p>
    <w:p>
      <w:r>
        <w:t>Existing research combines iconography (images and reliefs), selective archaeometric analyses, experimental replication, and a small set of well-preserved organic finds to argue for a Late Bronze Age emergence and east–west diffusion of composite bows. Approaches that rely mainly on iconography or typology are limited because images can be ambiguous and do not prove material construction. Direct-material studies rely on rare preservation contexts (e.g., Pazyryk) and often lack standard protocols for adhesive and protein identification. Experimental work demonstrates functional advantages of composites but often uses small sample sizes and lacks statistical power and standardized reference libraries for proteomics and adhesives. Chronological claims rarely integrate multi-proxy laboratory results into formal Bayesian models, and many studies do not explicitly control for contamination, diagenesis (chemical change after burial), or museum restoration materials.</w:t>
      </w:r>
    </w:p>
    <w:p>
      <w:r>
        <w:t xml:space="preserve"> </w:t>
      </w:r>
    </w:p>
    <w:p>
      <w:pPr>
        <w:pStyle w:val="Heading2"/>
      </w:pPr>
      <w:r>
        <w:t>Abstract</w:t>
      </w:r>
    </w:p>
    <w:p>
      <w:r>
        <w:t>We reassess claims about the origin and spread of the full composite bow (horn–wood–sinew with adhesive) in Bronze–Iron Age Eurasia by combining iconographic review, standardized archaeometric analyses, controlled experimental replication, biomechanical testing, and Bayesian chronological modelling. We create a diagnostic decision matrix that translates multi-proxy evidence (lamination geometry from micro-CT, adhesive chemistry from GC-MS, species markers from LC-MS/MS and ZooMS, and direct AMS dates) into categorical classifications with confidence scores. We build a proteomic and adhesive reference library including experimentally aged analogues, produce controlled replicas for mechanical benchmarking, and implement hierarchical Bayesian models to test single-origin versus multi-regional emergence. The main contribution is a reproducible, cross-disciplinary protocol that turns indirect and fragmentary evidence into testable, probabilistic statements about origin and diffusion. Expected outcomes include ranked earliest direct dates for composite components, regionally resolved technological recipes, and an openly documented decision framework that improves comparability and transparency across collections.</w:t>
      </w:r>
    </w:p>
    <w:p>
      <w:r>
        <w:t xml:space="preserve"> </w:t>
      </w:r>
    </w:p>
    <w:p>
      <w:pPr>
        <w:pStyle w:val="Heading2"/>
      </w:pPr>
      <w:r>
        <w:t>Experiments</w:t>
      </w:r>
    </w:p>
    <w:p>
      <w:r>
        <w:t>Datasets: (1) Candidate archaeological specimens (pilot n=30) sampled from prioritized contexts: Pazyryk (Altai), Arzhan/Aldy-Bel, Berel, Sintashta-Petrovka/Andronovo, Tagar/Minusinsk, and Xiongnu/early Han holdings; (2) experimental replica dataset: 60 bows (20 monolithic wood, 20 partial laminates, 20 full composites) built to standardized geometry; (3) reference library: 50 modern and experimentally aged adhesive and horn/sinew samples producing LC-MS/MS, ZooMS, GC-MS, and FTIR spectra; (4) imaging dataset: micro-CT stacks and SEM images for all archaeological and replica specimens. Baselines: (A) iconography-only classification; (B) monolithic-vs-composite typology based on external morphology; (C) Bayesian models excluding proteomics or adhesive chemistry. Evaluation metrics: (1) Earliest regional direct age (median calibrated AMS date) and 95% credible intervals; (2) Concordance score — a numeric score (0–1) combining lamination geometry match, adhesive-chemistry match, and proteomic species match; (3) Classification accuracy, sensitivity, specificity against known-replica ground truth; (4) Bayes factor and WAIC (Watanabe–Akaike Information Criterion) for comparing single-origin vs multi-origin models; (5) Mechanical metrics: stored energy (J), efficiency = KE_arrow / stored_energy, and fatigue life (mean shots-to-failure) with mean±SD. Experimental setup: Non-destructive imaging (micro-CT: X-ray micro-tomography for internal layers; SEM: scanning electron microscope for surface details) for all objects. Targeted micro-sampling (2–10 mg) from adhesive glue-lines, nock base, and limb midsection for LC-MS/MS (protein sequencing), ZooMS (peptide mass fingerprinting), GC-MS and pyrolysis-GC-MS for adhesives, plus AMS radiocarbon on organics. Mechanical tests: motorized draw rig recording load vs draw at 1 kHz, high-speed video (≥5,000 fps) for ballistic trials, chronograph for arrow speeds. Statistical design: power analysis assumes detection of 15% difference in stored energy with SD=15% (effect size d=1.0), two-sided alpha=0.05, power=0.8 → n≈17 per mechanical group; we set n=20 per group. Comparison/ablation studies: (1) Remove adhesive chemistry data from decision matrix to measure drop in classification accuracy; (2) Run hierarchical Bayesian models with full proxy set vs models omitting proteomics to quantify posterior shifts; (3) Mechanical ablation: compare performance metrics with identical geometry but different adhesive recipes to isolate adhesive effect.</w:t>
      </w:r>
    </w:p>
    <w:p>
      <w:r>
        <w:t xml:space="preserve"> </w:t>
      </w:r>
    </w:p>
    <w:p>
      <w:pPr>
        <w:pStyle w:val="Heading2"/>
      </w:pPr>
      <w:r>
        <w:t>Risk Factors And Limitations</w:t>
      </w:r>
    </w:p>
    <w:p>
      <w:r>
        <w:t>1) Preservation bias: organic components required for direct material analyses survive only in exceptional contexts; results may reflect preservation hotspots rather than true geographic origin. 2) Contamination and restoration: modern glues or museum consolidants can produce false positives in proteomic and chemical assays; distinguishing ancient signal may be ambiguous. 3) Diagenesis: chemical breakdown of proteins and adhesives can alter signatures and reduce confidence in species or binder identification. 4) Sampling access: museums or states may deny destructive sampling, reducing sample sizes and geographic coverage. 5) Small archaeological sample sizes: limited n per region can reduce statistical power and inflate uncertainty in Bayesian models. 6) Experimental mismatch: modern replicas may not match ancient craft, causing imperfect ground truth for classification. 7) Chronological uncertainty: reservoir effects and stratigraphic ambiguity can bias calibrated AMS dates and model outputs. 8) Model sensitivity: Bayesian inferences depend on prior choices; alternative priors may change conclusions. 9) Selection bias: focusing on high-status burials (elite weapons) may not represent commoner technology. 10) Computational limits: high-resolution CT stacks and LC-MS/MS spectra require substantial storage and compute for reproducible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