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linguistic_governmentality_misrecognition</w:t>
      </w:r>
    </w:p>
    <w:p>
      <w:r>
        <w:t xml:space="preserve"> </w:t>
      </w:r>
    </w:p>
    <w:p>
      <w:pPr>
        <w:pStyle w:val="Heading2"/>
      </w:pPr>
      <w:r>
        <w:t>Title</w:t>
      </w:r>
    </w:p>
    <w:p>
      <w:r>
        <w:t>A mixed-methods study using index-based policy coding and classroom discourse analysis to test how linguistic governmentality produces misrecognition of low-SES students in English-in-education settings</w:t>
      </w:r>
    </w:p>
    <w:p>
      <w:r>
        <w:t xml:space="preserve"> </w:t>
      </w:r>
    </w:p>
    <w:p>
      <w:pPr>
        <w:pStyle w:val="Heading2"/>
      </w:pPr>
      <w:r>
        <w:t>Short Hypothesis</w:t>
      </w:r>
    </w:p>
    <w:p>
      <w:r>
        <w:t>Higher exposure to linguistic governmentality in policy texts and school practices causes a measurable decrease in low-SES students' sense of belonging and in the recognition of their multilingual capital, controlling for prior attainment and demographics.</w:t>
      </w:r>
    </w:p>
    <w:p>
      <w:r>
        <w:t xml:space="preserve"> </w:t>
      </w:r>
    </w:p>
    <w:p>
      <w:pPr>
        <w:pStyle w:val="Heading2"/>
      </w:pPr>
      <w:r>
        <w:t>Related Work</w:t>
      </w:r>
    </w:p>
    <w:p>
      <w:r>
        <w:t>Existing work combines Foucauldian governmentality, Bourdieu's linguistic capital, and recognition theory to critique English-in-education policies. Ethnographies and critical discourse studies have shown how policy language shapes teacher practice and student subjectivities. Quantitative studies link accountability metrics to attainment gaps, and policy analyses document neoliberal human-capital framings. Limitations: prior work rarely operationalizes 'linguistic governmentality' into measurable indicators, lacks validated instruments to capture classroom-level recognitive versus deficit discourse, and seldom links text-level policy coding to student-level outcomes with causal inference. Mixed-method causal designs are underdeveloped: there are few pre-registered quasi-experimental studies that combine policy-text indices, classroom discourse scores, administrative data, and validated well-being or multilingual-capital measures. Cross-site comparability and instrument validation (content validity, inter-rater reliability) are often missing, reducing reproducibility and policy uptake.</w:t>
      </w:r>
    </w:p>
    <w:p>
      <w:r>
        <w:t xml:space="preserve"> </w:t>
      </w:r>
    </w:p>
    <w:p>
      <w:pPr>
        <w:pStyle w:val="Heading2"/>
      </w:pPr>
      <w:r>
        <w:t>Abstract</w:t>
      </w:r>
    </w:p>
    <w:p>
      <w:r>
        <w:t>Problem: Policies that present English learning as individual development may produce 'misrecognition'—treating social problems as individual deficits—especially for low-socioeconomic-status (SES) students. Approach: Develop and validate two instruments—a Linguistic Governmentality Exposure Index (LGEI) that codes policy texts and guidance for deficit and responsibilizing language, and a Classroom Recognitive Discourse Score (CRDS) that rates classroom practices for recognitive (respecting students' multilingual capital) versus deficit framings. Collect policy texts, school documents, classroom observations, and student surveys across a purposive sample of low-SES schools. Analyze links from LGEI and CRDS to student outcomes using multilevel models and mediation analysis. Contribution: Provide operationalized, validated measures of linguistic governmentality and recognitive classroom discourse, and test their causal relationship with student sense of belonging and recognition of multilingual capital. Expected outcome: Empirical evidence on how policy rationalities map to classroom practice and student well-being, enabling clearer diagnostics for policymakers and practitioners.</w:t>
      </w:r>
    </w:p>
    <w:p>
      <w:r>
        <w:t xml:space="preserve"> </w:t>
      </w:r>
    </w:p>
    <w:p>
      <w:pPr>
        <w:pStyle w:val="Heading2"/>
      </w:pPr>
      <w:r>
        <w:t>Experiments</w:t>
      </w:r>
    </w:p>
    <w:p>
      <w:r>
        <w:t>Datasets: 1) Policy corpus: national and regional English-in-education policy texts and funding guidance (Bangladesh national curriculum + 5 regional directives). 2) School sample: 60 purposively sampled low-SES schools across two regions; 40 students per school (N=2400 students), all classroom observation transcripts, teacher training materials, and school resourcing records. 3) Administrative data: student prior attainment, attendance, exclusion records, and EAL classification. 4) Survey data: student sense-of-belonging scale (5-item Likert), multilingual capital index (home-language use, parental support, language attitudes), teacher attitude survey. Baseline methods: compare schools with low LGEI (bottom tertile) versus high LGEI (top tertile). Instruments and validation: pilot LGEI/CRDS in 6 schools; three coders per item; target inter-rater Cohen's kappa &gt;= 0.7; confirmatory factor analysis (CFA) for survey scales (CFI &gt;= 0.95, RMSEA &lt;= 0.06). Evaluation metrics: effect sizes (Cohen's d), multilevel regression coefficients, mediation effect size (%) from policy exposure -&gt; classroom discourse -&gt; student outcomes, intraclass correlation (ICC), model AIC/BIC, kappa for reliability, CFA fit indices. Experimental setup: 1) Compute LGEI per school by coding policy exposure and local guidance (numerical index). 2) Compute CRDS per classroom from transcript coding (numerical score). 3) Primary analysis: two-level mixed-effects linear models (students nested in schools) estimating outcome = beta0 + beta1*LGEI + beta2*CRDS + covariates (prior attainment, SES, migration status, disability) + random intercepts. 4) Mediation: causal mediation analysis estimating indirect effect via CRDS. 5) Quasi-experimental robustness: if a regional policy change exists, run difference-in-differences (DiD) using pre/post measures; if not, run propensity-score weighting on school covariates. 6) Heterogeneity: causal forest or interaction terms to estimate effects by migration status, gender, and disability. Comparisons/ablations: A) Model A: LGEI only. B) Model B: CRDS only. C) Model C: LGEI + CRDS. D) Exclude prior-attainment covariate to test sensitivity. E) Use alternative outcome: English attainment. Pre-registration: pre-specify models, covariates, and exclusion rules. Power: with 60 schools, 40 students each (ICC=0.05), &gt;80% power to detect standardized effect size 0.15 at alpha=0.05. Coder training: 2-week training, calibration exercises, and blinded re-coding for reliability checks.</w:t>
      </w:r>
    </w:p>
    <w:p>
      <w:r>
        <w:t xml:space="preserve"> </w:t>
      </w:r>
    </w:p>
    <w:p>
      <w:pPr>
        <w:pStyle w:val="Heading2"/>
      </w:pPr>
      <w:r>
        <w:t>Risk Factors And Limitations</w:t>
      </w:r>
    </w:p>
    <w:p>
      <w:r>
        <w:t>Measurement validity risk: LGEI and CRDS may not capture all dimensions of linguistic governmentality or recognitive practices, producing construct error. Inter-rater bias: coders may interpret texts differently despite training (kappa may fall below target). Data access risk: obtaining administrative records or regional policy versions may be delayed or restricted. Causal identification risk: without a clear policy shock, unobserved confounders may bias estimates; DiD/RDD options may be unavailable. Sample generalizability: results from low-SES schools in Bangladesh may not generalize to other countries or higher-SES contexts. Small effect sizes: anticipated effects may be small, requiring larger samples than planned. Ethical/privacy constraints: handling student-level data requires strict governance and may limit data sharing. Political pushback: schools or authorities may resist critical framing, limiting field access. Computational limits: analyses are standard and not compute-heavy, but secure storage and anonymization processes add logistical overhead.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