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artificial_creativity_eval</w:t>
      </w:r>
    </w:p>
    <w:p>
      <w:r>
        <w:t xml:space="preserve"> </w:t>
      </w:r>
    </w:p>
    <w:p>
      <w:pPr>
        <w:pStyle w:val="Heading2"/>
      </w:pPr>
      <w:r>
        <w:t>Title</w:t>
      </w:r>
    </w:p>
    <w:p>
      <w:r>
        <w:t>Evaluating model-relative novelty, Bayesian surprise, and audience-value as predictors of perceived creativity in AI-generated poetry</w:t>
      </w:r>
    </w:p>
    <w:p>
      <w:r>
        <w:t xml:space="preserve"> </w:t>
      </w:r>
    </w:p>
    <w:p>
      <w:pPr>
        <w:pStyle w:val="Heading2"/>
      </w:pPr>
      <w:r>
        <w:t>Short Hypothesis</w:t>
      </w:r>
    </w:p>
    <w:p>
      <w:r>
        <w:t>When two artifacts have the same data-relative novelty, the artifact with higher novelty relative to the agent's internal model (N_A) will receive higher human creativity ratings than the one with lower N_A.</w:t>
      </w:r>
    </w:p>
    <w:p>
      <w:r>
        <w:t xml:space="preserve"> </w:t>
      </w:r>
    </w:p>
    <w:p>
      <w:pPr>
        <w:pStyle w:val="Heading2"/>
      </w:pPr>
      <w:r>
        <w:t>Related Work</w:t>
      </w:r>
    </w:p>
    <w:p>
      <w:r>
        <w:t>Existing work evaluates AI creativity using data-relative novelty (how different outputs are from a corpus), surprise or anomaly scores, and human-rating protocols like the Consensual Assessment Technique. Other lines study Bayesian surprise as belief change and audience modeling for personalization. Limitations: most methods measure novelty only against external corpora, not against the agent's own internal model, producing ambiguous claims about machine 'creativity'. Few studies operationalize Bayesian surprise as internal belief updates in generative models or test inverted-U relations between surprise and value. Audience models are often absent or not validated cross-culturally. There is also limited work linking computational measures (latent KL, compression) to human judgments with rigorous preregistered analyses, process-tracing, and fairness audits.</w:t>
      </w:r>
    </w:p>
    <w:p>
      <w:r>
        <w:t xml:space="preserve"> </w:t>
      </w:r>
    </w:p>
    <w:p>
      <w:pPr>
        <w:pStyle w:val="Heading2"/>
      </w:pPr>
      <w:r>
        <w:t>Abstract</w:t>
      </w:r>
    </w:p>
    <w:p>
      <w:r>
        <w:t>This study tests whether AI outputs are judged creative primarily when they are novel relative to the AI's own internal model, rather than merely novel relative to a training corpus. We propose an empirical program that measures three formal signals: model-relative novelty N_A (how much an artifact changes the agent's internal beliefs), Bayesian surprise (the amount of information gain), and audience-value (predicted human utility). We will generate controlled short poems that vary these signals independently and collect human ratings of creativity, surprise, and value. Main contribution: a reproducible evaluation protocol that links computable measures (latent-space KL, distributional divergence, delta-compression, information gain) to human judgments and identifies non-linear effects such as an inverted-U between surprise and perceived value. Expected outcome: clear, testable evidence about which computational signals predict human perceptions of creativity, enabling better evaluation standards and more interpretable creative agents. Technical terms are explained in simple words where used.</w:t>
      </w:r>
    </w:p>
    <w:p>
      <w:r>
        <w:t xml:space="preserve"> </w:t>
      </w:r>
    </w:p>
    <w:p>
      <w:pPr>
        <w:pStyle w:val="Heading2"/>
      </w:pPr>
      <w:r>
        <w:t>Experiments</w:t>
      </w:r>
    </w:p>
    <w:p>
      <w:r>
        <w:t>Datasets: (1) Human-authored short poems corpus (diverse styles, 500 samples); (2) Generated poems from three agent variants producing N=300 artifacts each. Agent variants: A1 (optimizes data-relative novelty), A2 (optimizes model-relative novelty N_A via latent operators), A3 (A2 + explicit audience model). Baselines: human-authored set; automated baseline using existing novelty-by-corpus metric. Controlled generation: factorial design crossing N_A (low, medium, high) x Bayesian surprise (low, medium, high) x audience-model (present/absent), producing matched poem pairs differing only on target axes. Participants: Pilot N=80 online raters for between-subjects main test; lab subset n=20 for process-trace. Evaluation metrics: human ratings (creativity, surprise, value on 1-7 Likert), behavioral engagement (reading time, share intent), computational measures (latent KL for N_A, JS divergence to corpus, delta-compression change, Bayesian information gain), and inter-annotator agreement (Krippendorff's alpha). Experimental setup: preregister hypotheses and analysis; mixed-effects regression with random intercepts for participant and item; test H1 via contrast comparing matched pairs with equal corpus-novelty but differing N_A; test inverted-U (H2) using quadratic terms and spline fits; mediation analysis to test whether surprise mediates novelty-&gt;creativity. Ablation studies: remove audience model (A2 vs A3) and replace fine-tune updater with MAP and variational approximation to compare Bayesian-update approximations. Power analysis: target detection of medium effect (d=0.5) with 80% power for main contrasts, informing full study scaling.</w:t>
      </w:r>
    </w:p>
    <w:p>
      <w:r>
        <w:t xml:space="preserve"> </w:t>
      </w:r>
    </w:p>
    <w:p>
      <w:pPr>
        <w:pStyle w:val="Heading2"/>
      </w:pPr>
      <w:r>
        <w:t>Risk Factors And Limitations</w:t>
      </w:r>
    </w:p>
    <w:p>
      <w:r>
        <w:t>Measurement bias in human ratings and annotator cultural bias. Fine-tuning as an updater may not approximate a full Bayesian posterior; approximation error may confound N_A estimates. Delta-compression and latent KL scales differ across modalities and architectures, limiting direct comparisons. Physiological/process-trace measures have low signal-to-noise and small lab sample sizes reduce reliability. Compute costs for repeated model updates and compression metrics are high, limiting large-scale replication. Results may not generalize beyond short poetry to other domains (images, music). Intellectual property and consent issues for generated outputs and biometric data constrain data sharing. Nonlinear effects may require larger samples than pilot sizes to detect robustly.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