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cohesion_africa_index</w:t>
      </w:r>
    </w:p>
    <w:p>
      <w:r>
        <w:t xml:space="preserve"> </w:t>
      </w:r>
    </w:p>
    <w:p>
      <w:pPr>
        <w:pStyle w:val="Heading2"/>
      </w:pPr>
      <w:r>
        <w:t>Title</w:t>
      </w:r>
    </w:p>
    <w:p>
      <w:r>
        <w:t>Latent multi-level measurement of social cohesion in Africa using household surveys, expert datasets, and community network modules to predict conflict and service responsiveness</w:t>
      </w:r>
    </w:p>
    <w:p>
      <w:r>
        <w:t xml:space="preserve"> </w:t>
      </w:r>
    </w:p>
    <w:p>
      <w:pPr>
        <w:pStyle w:val="Heading2"/>
      </w:pPr>
      <w:r>
        <w:t>Short Hypothesis</w:t>
      </w:r>
    </w:p>
    <w:p>
      <w:r>
        <w:t>Higher community-level bridging ties and linking trust cause a lower probability of local intergroup conflict within two years, controlling for income inequality and youth unemployment.</w:t>
      </w:r>
    </w:p>
    <w:p>
      <w:r>
        <w:t xml:space="preserve"> </w:t>
      </w:r>
    </w:p>
    <w:p>
      <w:pPr>
        <w:pStyle w:val="Heading2"/>
      </w:pPr>
      <w:r>
        <w:t>Related Work</w:t>
      </w:r>
    </w:p>
    <w:p>
      <w:r>
        <w:t>Existing approaches measure social cohesion with household opinion surveys (for example single-item trust questions), expert-coded indicators (for example institutional legitimacy scores), and occasional community network studies. Psychometric work has applied factor analysis and simple composite scores to combine items, while some studies use network metrics to capture bridging ties. Limitations: many indices use single trust items or unweighted sums that conflate distinct concepts; expert and household sources are rarely fused at the community level; negative-cohesion (exclusion, hostility) is often omitted; cross-group measurement invariance is rarely tested, reducing comparability across gender, ethnicity, and urban/rural groups; longitudinal, community-level network data are scarce, limiting causal claims; and geospatial and temporal harmonization of different datasets is under-specified, making record linkage and local inference unreliable.</w:t>
      </w:r>
    </w:p>
    <w:p>
      <w:r>
        <w:t xml:space="preserve"> </w:t>
      </w:r>
    </w:p>
    <w:p>
      <w:pPr>
        <w:pStyle w:val="Heading2"/>
      </w:pPr>
      <w:r>
        <w:t>Abstract</w:t>
      </w:r>
    </w:p>
    <w:p>
      <w:r>
        <w:t>This project defines and tests an operational, multi-dimensional measure of social cohesion for African contexts. We treat cohesion as three core attributes (inclusive identity, trust, and cooperation) measured along horizontal (between citizens) and vertical (citizen–institution) axes, and we combine household survey items, expert indicators, administrative service data, conflict records, and community network modules. The main contribution is a validated, psychometrically grounded index and scoring options (equal-weight, factor score, IRT-derived) with pre-specified measurement-invariance checks and a multi-level model that links cohesion to local conflict and service responsiveness. Expected outcomes include: a pilot instrument with exemplar items, empirical comparison of scoring strategies, evidence on predictive validity for conflict and service outcomes, and a reproducible pipeline for geospatial harmonization and data fusion. Impact: provide practitioners and researchers a testable, culturally adapted measurement system that enables subnational monitoring and policy-relevant inference about cohesion dynamics in African settings.</w:t>
      </w:r>
    </w:p>
    <w:p>
      <w:r>
        <w:t xml:space="preserve"> </w:t>
      </w:r>
    </w:p>
    <w:p>
      <w:pPr>
        <w:pStyle w:val="Heading2"/>
      </w:pPr>
      <w:r>
        <w:t>Experiments</w:t>
      </w:r>
    </w:p>
    <w:p>
      <w:r>
        <w:t>Datasets: Afrobarometer rounds (household modules), V-Dem expert indicators (institutional legitimacy), DHS/MICS for service access, ACLED and UCDP for conflict events, administrative service delivery records where available, and new community-level network surveys in pilot sites. Pilot design: three countries, each with n=1,500 households (stratified by urban/rural), cluster size m≈30, and intensive network modules in 20 clusters per country with complete ego-network sampling (target ~100 respondents per cluster for network census). Baselines: (1) single-item trust index (Afrobarometer trust question), (2) unweighted composite sum of cohesion items, (3) expert-only linking-trust score. Scoring methods compared: equal-weight sum, CFA-derived factor scores (confirmatory factor analysis; CFA tests latent structure), and IRT trait estimates (Item Response Theory models). Evaluation metrics: internal reliability (Cronbach's alpha), model fit (CFI, RMSEA; CFI is Comparative Fit Index, RMSEA is root mean square error of approximation), measurement invariance tests (change in CFI delta &lt; 0.01 indicates acceptable invariance), IRT item fit and DIF (differential item functioning), predictive validity for conflict (ROC AUC, precision-recall), prediction of service responsiveness (RMSE, R-squared), multi-level ICCs (intra-class correlation), and longitudinal effect sizes (standardized coefficients). Experimental setup: (a) Psychometric pipeline: EFA then CFA on pooled pilot data; IRT graded-response models for ordinal items; multi-group CFA for gender, ethnicity, urban/rural. (b) Scoring comparison: fit models using each scoring method and compare predictive metrics and cross-validation performance. (c) Multi-level inference: mixed-effects logistic regression of conflict incidence on cohesion scores with random intercepts for cluster and district; include controls (Gini, unemployment, demographic covariates) and report fixed effects, standard errors clustered at district. (d) Causality tests: difference-in-differences on natural shocks (service rollout or local policy change) where available; pre-registered stepped-wedge pilot in one country to test change over time. (e) Ablations: remove negative-cohesion items, remove customary-institution items, and compare models with vs without network-derived bridging measures. Reproducibility: publish code, data dictionary, and simulated data for public replication.</w:t>
      </w:r>
    </w:p>
    <w:p>
      <w:r>
        <w:t xml:space="preserve"> </w:t>
      </w:r>
    </w:p>
    <w:p>
      <w:pPr>
        <w:pStyle w:val="Heading2"/>
      </w:pPr>
      <w:r>
        <w:t>Risk Factors And Limitations</w:t>
      </w:r>
    </w:p>
    <w:p>
      <w:r>
        <w:t>Measurement invariance failure (items may not mean the same across groups), social desirability and response bias in sensitive items, incomplete or inconsistent administrative records for service outcomes, limited temporal coverage to infer causality, attrition in panel follow-up, cluster-level ICC higher than assumed reducing effective sample size, security or political events preventing fieldwork in some areas, legal or data sovereignty constraints limiting record linkage, scale and compute limits for IRT/SEM on very large pooled datasets, potential non-representativeness of intensive network subsamples, and limited generalizability from pilot countries to all African regions.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