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single_indentation_lpi_sibhudu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Single-instrumented indentation measurement of hardness and stiffness to predict raw-material selection and tool shape at Sibhudu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Lithic Performance Index (LPI) values derived from a single instrumented indentation test (hardness H and elastic modulus E, plus observable cracking) cause longer edge-life (more effective strokes-to-failure) in standardized cutting trials.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uses micro- and nano-indentation to measure localized hardness and elastic modulus in brittle rocks, and derives simple ratios (H/E and H^3/E^2) as proxies for edge behavior. Continuous stiffness measurement (CSM) is established for extracting modulus from a single indent. Other studies estimate fracture toughness (K_IC) from indentation cracks and use ultrasonic or bulk tests for cross-checking elastic properties. Limitations include sensitivity of indentation-derived K_IC to crack type and microstructure, strong indentation-size effects near grain/porosity scales, anisotropy from fabric or bedding, surface-weathering bias, tip geometry and calibration dependence, low and uneven sample counts in archaeological studies, lack of a validated composite index that combines hardness, stiffness, and toughness, and limited quantification of uncertainty and field-portable reproducibility.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Archaeological inference about raw-material selection and tool form depends on how rock mechanics affect edge performance. We test whether a single instrumented indentation test can yield hardness (H), elastic modulus (E), and crack observations sufficient to predict edge-life and explain raw-material choice at Sibhudu. We propose computing simple mechanical descriptors (H/E and H^3/E^2) and an observable-crack-based toughness estimate (K_IC when present), and combining them into a normalized Lithic Performance Index (LPI). The main contribution is an empirically calibrated pipeline that maps single-indent outputs to measurable edge-life outcomes from controlled knapping and use-life trials. Expected outcomes are: (1) demonstration of which indentation-derived components predict strokes-to-failure and dominant wear mode (abrasion versus chipping); (2) a validated LPI with uncertainty bounds; and (3) a reproducible experimental protocol for minimally invasive archaeological testing that supports comparative interpretation of material selection and tool-shape distributions.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four raw-material groups from Sibhudu: silcrete, chert/flint, quartz/quartzite, and other siliceous rocks. For each group collect: 30 indents on independent specimens (n &gt;= 25 acceptable), and where available 20 archaeological flakes for comparison. Pilot: 50–60 indents across representative materials. Controlled knapping: produce standardized flakes with fixed platform angle and edge thickness; generate 8 knapping replicates per material (8 edges). Use-life trials: standardized cutting/scraping on three substrates (hide, plant fiber, soft wood); record strokes-to-failure for each edge (5 repeated trials per edge). Baselines: (A) laboratory nanoindentation with full Oliver–Pharr analysis and separate fracture tests (microbeam or SENB where feasible); (B) ultrasonic pulse velocity (UPV) bulk modulus measurements; (C) single-metric baselines: H-only and E-only. Measurements: instrumented nanoindentation with CSM (Berkovich tip), load range 50–500 mN, target indent depth &lt;5 µm, record full load-displacement, image indents and cracks, compute H (Vickers-equivalent), E_ind, H/E, H^3/E^2, and K_IC when radial cracks are measurable. LPI construction: compute two normalization schemes (z-score and min–max) and two weighting schemes (equal weights and K_IC-weighted). Modeling and evaluation: fit a hierarchical Bayesian model mapping indentation outputs + covariates (material, cortex vs interior, orientation, surface weathering index) to strokes-to-failure and to binary edge-life classes (short/long). Perform 5-fold cross-validation and posterior predictive checks. Evaluation metrics: Pearson and Spearman correlation between predicted and observed strokes-to-failure, MAE, RMSE, R^2, 95% credible interval coverage, AUC for classification. Ablation studies: (1) LPI with and without K_IC; (2) H^3/E^2 only vs H/E only vs combined; (3) normalization scheme sensitivity; (4) effect of excluding indents near inclusions/rind. Repeats and QA: blinded duplicate indents for intra- and inter-operator repeatability (10% of indents). Power analysis: design targeted to detect medium effect sizes (Cohen's d ~0.5) on strokes-to-failure with 80% power across materials, adjusted after pilot variance estimates. Reporting: provide raw load-displacement files, indent images, metadata, and model code.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ambiguous or absent radial cracks prevent reliable K_IC estimates; tip blunting or calibration drift alters H/E measurements; indentation-size effects occur when indent depth approaches grain or pore size. Data and evaluation biases: weathered surfaces and rind may bias measurements; archaeological sample scarcity or permit restrictions may reduce sample sizes; operator or knapper variability may confound wear outcomes. Scalability and deployment: portable indenter performance may degrade under field vibration or temperature changes, limiting comparability to lab data. Statistical limits: high within-source variability may require larger n than planned and reduce predictive power; hierarchical models depend on informative priors when data are sparse. Generalization: LPI calibrated on Sibhudu materials and tested substrates may not transfer to different functional regimes (high-impact tasks) or distant lithologies without further calibration. Ethical and curation constraints: minimal but irreversible micro-damage to archaeological flakes may limit sampling of key artifacts, reducing representativeness.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