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peircean_semiosis_llm_grounding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Measuring and improving semiosis fidelity in large language models with mutual-information probes and causal interventions to address the hall-of-mirrors problem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Introducing persistent multimodal object signals and optimizing a loss that increases mutual information between model interpretant states and object features while penalizing mutual information with input token patterns causes a measurable increase in semiosis fidelity F and a decrease in hallucination rate versus next-token-only training.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probing, mutual-information estimates, multimodal pretraining, and causal tracing to study model representations and hallucinations. Probing methods decode features from activations but can conflate encoding with causal use. Mutual-information estimators (e.g., variational bounds, kNN methods) provide numeric coupling measures but suffer bias and high-dimensional instability. Multimodal grounding and retrieval-augmented approaches add object-like inputs but often lack rigorous causal tests of whether internal states mediate behavior about real-world objects. Causal tracing and activation patching can reveal causal pathways but are sensitive to intervention design and lack standardized DAG-based identification. Human-subject annotation work compares model outputs to human judgments but rarely links those judgments to internal interpretant mechanics. Overall limitations are: (1) few methods jointly measure encoding and causal mediation to objects, (2) MI estimates and probes lack agreed control baselines, and (3) prior grounding work rarely quantifies a triadic sign relation (Representamen–Object–Interpretant) or reports standardized semiosis fidelity metrics.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'hall-of-mirrors' failure mode of language models, where models echo token patterns without reliably tracking external facts. We operationalize Charles Peirce's triadic semiotics by mapping Representamen (input tokens), Object (ground-truth features from sensors or images), and Interpretant (internal activation states that mediate behavior). We propose measurable quantities: MI_I_O (mutual information between interpretant and object), MI_I_R (between interpretant and representamen), and Semiosis Fidelity F = MI_I_O / (MI_I_O + MI_I_R). Our approach combines paired R–O datasets, layer/head probing, multiple MI estimators, causal interventions (token/object swaps and activation patching), and an auxiliary semiosis-maximizing training objective that raises I(Object; Interpretant) while penalizing I(Representamen; Interpretant). Main contributions are (1) a reproducible experimental protocol and dataset generator for triadic tests, (2) validated metrics and probe-control baselines, and (3) empirical evaluation showing whether targeted grounding and training objectives increase F and reduce hallucination. Expected outcome is a testable framework to quantify when models genuinely track external reality rather than echoing surface patterns.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 paired R–O generator producing tuples (text R, image/sensor O, metadata) with controlled minimal pairs: (i) fixed R varying O, (ii) fixed O varying R, and paraphrase sets preserving O; (B) Rendered-scene multimodal dataset with labeled object features; (C) Naturalistic benchmark subset with human-verified facts. Models and baselines: (1) GPT-2 small pretrained (R-only); (2) GPT-2 small fine-tuned on paired R–O but trained with next-token loss only; (3) multimodal transformer with auxiliary O-predictor loss (maximize I(O;e_I)); (4) semiosis-max model with loss L = L_task + α L_Opred − λ L_Rpred (penalize R predictability from e_I); (5) null baselines: randomized-O, randomized-R, and n-gram co-occurrence predictor. Probing and MI estimation: extract e_R and e_I per token/layer/head (token pooling = mean over tokens corresponding to target phrase; interpretant temporal pooling = activation after prompt completion). Train linear and small-MLP probes to predict object features (for MI_I_O proxy) and R features (for MI_I_R proxy). Compute MI estimates using kNN-MI and MINE (neural estimator) with bootstrap 95% CIs; pre-register estimator hyperparameters. Causal interventions: do-swap R (replace prompt paraphrase) and do-swap O (replace image/sensor), plus activation patching: swap e_I between runs and measure downstream output change. Metrics: Semiosis Fidelity F, hallucination rate (incorrect factual claims per 100 responses), causal mediation effect size (percent output change mediated by e_I), probe accuracies, paraphrase invariance score (variance of outputs across paraphrases preserving O). Experimental setup: run 5 seeds per model, report layer/head heatmaps of F, bootstrap CIs, Bonferroni correction for multiple head/layer tests. Ablations: vary λ in {0,0.1,1,10} to measure trade-off, ablate O-predictor head, and compare MI estimators. Power analysis: design sample sizes to detect medium effect (Cohen's d=0.5) with 80% power for F differences; report required N and use those sample sizes for synthetic and rendered datasets.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Mutual-information estimation bias: MI estimators are noisy in high dimensions and may give misleading F values; bootstrap intervals can be wide. Probe misinterpretation: probes may decode information that is not causally used; causal interventions may not fully resolve usage. Causal identification limits: unmeasured confounders between R, O, and e_I can bias mediation estimates; many real-world O variables are not manipulable. Dataset realism: synthetic R–O pairs may not generalize to natural language; grounded signals in lab settings may be unavailable at scale. Scalability and compute: activation patching, MI estimation, and many intervention runs are compute-intensive and may not scale to large models. Adversarial and distribution shift: models can game auxiliary objectives or fail under noisy or adversarial R/O, producing high F without robust causal use. Human-subject risks: exposing participants to misleading model outputs raises ethical concerns and requires IRB approval. Measurement granularity: choices about pooling (token/layer/head) and alignment methods affect results and may create researcher degrees of freedom.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