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german_minority_archive_affect_sna</w:t>
      </w:r>
    </w:p>
    <w:p>
      <w:r>
        <w:t xml:space="preserve"> </w:t>
      </w:r>
    </w:p>
    <w:p>
      <w:pPr>
        <w:pStyle w:val="Heading2"/>
      </w:pPr>
      <w:r>
        <w:t>Title</w:t>
      </w:r>
    </w:p>
    <w:p>
      <w:r>
        <w:t>Mixed-methods study of how engagement with a German minority community archive affects affective identity and social networks in Silesia</w:t>
      </w:r>
    </w:p>
    <w:p>
      <w:r>
        <w:t xml:space="preserve"> </w:t>
      </w:r>
    </w:p>
    <w:p>
      <w:pPr>
        <w:pStyle w:val="Heading2"/>
      </w:pPr>
      <w:r>
        <w:t>Short Hypothesis</w:t>
      </w:r>
    </w:p>
    <w:p>
      <w:r>
        <w:t>Regular engagement with the German Minority Research Center archive causes measurable increases in (1) intergenerational German language use and (2) social network centrality within the local German minority community compared to individuals with no or minimal archive engagement.</w:t>
      </w:r>
    </w:p>
    <w:p>
      <w:r>
        <w:t xml:space="preserve"> </w:t>
      </w:r>
    </w:p>
    <w:p>
      <w:pPr>
        <w:pStyle w:val="Heading2"/>
      </w:pPr>
      <w:r>
        <w:t>Related Work</w:t>
      </w:r>
    </w:p>
    <w:p>
      <w:r>
        <w:t>Existing work on community and independent archives focuses on documentation, digitization workflows, and preservation standards; oral-history research provides methods to capture life narratives and memory; social network studies map ties and civic outcomes in community settings; affective scholarship argues archives carry emotional and identity work. Current approaches are limited in three ways: (1) Many studies treat archives as static repositories and do not empirically measure emotional or identity effects of engagement. (2) Few efforts jointly apply qualitative affective analysis and quantitative social-network methods to link feelings and identity with measurable network positions and civic outcomes. (3) Technical and governance studies often omit labor burdens, trauma-aware protocols, bilingual metadata practices, and concrete sampling/analytic plans. These gaps mean prior work cannot rigorously test causal links between archive engagement, language retention, and social mobilization.</w:t>
      </w:r>
    </w:p>
    <w:p>
      <w:r>
        <w:t xml:space="preserve"> </w:t>
      </w:r>
    </w:p>
    <w:p>
      <w:pPr>
        <w:pStyle w:val="Heading2"/>
      </w:pPr>
      <w:r>
        <w:t>Abstract</w:t>
      </w:r>
    </w:p>
    <w:p>
      <w:r>
        <w:t>This study tests whether engagement with an independent community archive produces measurable affective, linguistic, and social-network effects in a German minority community in Silesia. We use a mixed-methods design co‑governed with a Community Advisory Board: structured oral-history interviews (30–40 participants across generations), a larger ego-network survey (approx. 150 community respondents), metadata and usage analytics from a pilot digitized corpus (≈500 items), and CAB-reviewed affective coding. The main contribution is an integrated, reproducible framework that links qualitative affect coding (feelings, belonging, care) with quantitative network centrality and language-use outcomes. We will pre-register statistical models that test whether archive engagement predicts greater German language use and higher network centrality, and we will report intercoder reliability for affect codes and model effect sizes. Expected outcomes include evidence-based recommendations for archive governance, bilingual access policies, and metrics to evaluate social and affective impacts of minority community archives.</w:t>
      </w:r>
    </w:p>
    <w:p>
      <w:r>
        <w:t xml:space="preserve"> </w:t>
      </w:r>
    </w:p>
    <w:p>
      <w:pPr>
        <w:pStyle w:val="Heading2"/>
      </w:pPr>
      <w:r>
        <w:t>Experiments</w:t>
      </w:r>
    </w:p>
    <w:p>
      <w:r>
        <w:t>Datasets: (1) Oral-history transcripts and audio from 30–40 participants sampled purposively for generation (youth, adult, elder), gender, migration status, and region; (2) ego-network survey of ~150 community members capturing ties formed/maintained via archive activities; (3) metadata and usage logs from a pilot digitized corpus of ≈500 items and 10 pilot oral-history recordings. Baselines: (A) community members with no/seldom archive engagement (matched on age and region); (B) within-subject pre/post measures for participants who begin engagement during the study. Evaluation metrics: (1) Language outcome: self-reported frequency of German use and a short language-use task scored for retention (numeric scale); (2) Social outcome: degree, betweenness, and eigenvector centrality (network measures); (3) Affect coding: proportion of segments coded for categories (care, belonging, grief, resilience) and intercoder reliability (Cohen's kappa target &gt;= 0.7); (4) Model fit: R^2, AIC/BIC, p-values and effect sizes for regressions; (5) Predictive validation: cross-validated RMSE for continuous outcomes. Experimental setup: recruit via CAB channels; record interviews, transcribe and produce bilingual validation passes; code narratives in QDA software (e.g., NVivo, a tool to tag text); compute affect code frequencies; collect ego-network data using a standardized name-generator and convert to adjacency matrices. Statistical analysis: (1) Mixed-effects regression (participants nested in localities) predicting language-use score from archive engagement (hours, roles) controlling for age, education, migration status; (2) Exponential Random Graph Models (ERGM: a statistical model for network tie patterns) to test whether archive-related activities predict tie formation; (3) Mediation analysis testing whether affective belonging mediates the effect of engagement on language use. Ablation studies: (a) remove affective coding from models to measure change in explained variance; (b) run models excluding network covariates; (c) compare results for different access-tier exposures (open vs community-registered access) using usage analytics. Pre-registration: specify primary outcomes, covariates, and analysis scripts; report null results.</w:t>
      </w:r>
    </w:p>
    <w:p>
      <w:r>
        <w:t xml:space="preserve"> </w:t>
      </w:r>
    </w:p>
    <w:p>
      <w:pPr>
        <w:pStyle w:val="Heading2"/>
      </w:pPr>
      <w:r>
        <w:t>Risk Factors And Limitations</w:t>
      </w:r>
    </w:p>
    <w:p>
      <w:r>
        <w:t>Sampling bias: participants who engage with the archive may self-select and differ systematically from non-engaged peers; small sample sizes may limit statistical power for subgroup analyses; affect coding subjectivity: manual coding depends on cultural interpretation and translation, causing measurement error; automated sentiment tools may perform poorly on minority-language content; data protection/legal: cross-border data sharing and GDPR requirements may restrict data access and analytic choices; trauma risk: interviews may elicit distress among participants; governance conflicts: CAB decision processes may delay access to data or outputs; technical failure modes: digitization errors, file corruption, or failed backups can lead to data loss; compute/storage limits: processing large audio/video files and preservation copies can be costly; generalization: findings may not extend beyond this German minority context or to larger archival settings; scalability: methods tuned to a 500-item pilot may not scale linearly to much larger collections.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