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impact_vc_tactical_effects</w:t>
      </w:r>
    </w:p>
    <w:p>
      <w:r>
        <w:t xml:space="preserve"> </w:t>
      </w:r>
    </w:p>
    <w:p>
      <w:pPr>
        <w:pStyle w:val="Heading2"/>
      </w:pPr>
      <w:r>
        <w:t>Title</w:t>
      </w:r>
    </w:p>
    <w:p>
      <w:r>
        <w:t>A mixed-methods causal evaluation of how blended-finance structures and sourcing tactics affect startup growth and measurable social and environmental impact in frontier markets</w:t>
      </w:r>
    </w:p>
    <w:p>
      <w:r>
        <w:t xml:space="preserve"> </w:t>
      </w:r>
    </w:p>
    <w:p>
      <w:pPr>
        <w:pStyle w:val="Heading2"/>
      </w:pPr>
      <w:r>
        <w:t>Short Hypothesis</w:t>
      </w:r>
    </w:p>
    <w:p>
      <w:r>
        <w:t>Providing frontier-market startups with a blended-finance package that includes a first-loss tranche (&lt;=20%) plus targeted technical assistance causes higher 12-month revenue growth and a greater probability of meeting pre-specified verified impact outcomes than providing equivalent equity capital without concessional tranches or targeted technical assistance.</w:t>
      </w:r>
    </w:p>
    <w:p>
      <w:r>
        <w:t xml:space="preserve"> </w:t>
      </w:r>
    </w:p>
    <w:p>
      <w:pPr>
        <w:pStyle w:val="Heading2"/>
      </w:pPr>
      <w:r>
        <w:t>Related Work</w:t>
      </w:r>
    </w:p>
    <w:p>
      <w:r>
        <w:t>Existing research on impact investing and blended finance has produced descriptive frameworks for structuring concessional capital, measurement taxonomies for impact indicators, and network analyses of investor ecosystems. Venture-capital literature has studied founder signals (serial founders, prior exits, pedigree) and sourcing channels, while development literature has tested technical assistance (TA) effects in program contexts. Limitations include weak causal identification (many studies are observational), inconsistent impact metrics across jurisdictions, sparse telemetry in frontier markets, selection bias from convenience dealflow, and limited integration of qualitative gatekeeper dynamics with quantitative network models. Few studies evaluate combined effects of capital structure (first-loss tranches) and operational inputs (TA, anchor procurement) using pre-registered designs, and none systematically apply a tactical, practice-focused lens to how investors mobilize contested definitions of impact during sourcing and fundraising.</w:t>
      </w:r>
    </w:p>
    <w:p>
      <w:r>
        <w:t xml:space="preserve"> </w:t>
      </w:r>
    </w:p>
    <w:p>
      <w:pPr>
        <w:pStyle w:val="Heading2"/>
      </w:pPr>
      <w:r>
        <w:t>Abstract</w:t>
      </w:r>
    </w:p>
    <w:p>
      <w:r>
        <w:t>The project tests whether specific tactical choices by impact venture capitalists—blended-finance structures (small first-loss concessions) and sourcing/talent tactics—causally change startup growth and verified social/environmental outcomes in frontier markets. We propose a mixed-methods design combining pre-registered quasi-experiments and randomized components, multilayer network analysis of investor-founder-procurement ties, and ethnographic fieldwork of local sensing hubs and gatekeepers. The main contribution is a reproducible evidence base that isolates the effect of capital structure and TA on short-run firm traction and verified impact, while mapping how sourcing practices and local intermediaries mediate those effects. Expected outputs include causal estimates for blended-finance mixes, validated sourcing playbooks, an operational scorecard for impact measurement, and a public data-schema and analysis pipeline. The findings will inform DFIs, LPs, and impact VCs on which tactical levers increase both measurable impact and commercial viability in under-documented markets.</w:t>
      </w:r>
    </w:p>
    <w:p>
      <w:r>
        <w:t xml:space="preserve"> </w:t>
      </w:r>
    </w:p>
    <w:p>
      <w:pPr>
        <w:pStyle w:val="Heading2"/>
      </w:pPr>
      <w:r>
        <w:t>Experiments</w:t>
      </w:r>
    </w:p>
    <w:p>
      <w:r>
        <w:t>Datasets: 1) Deal and investor metadata from commercial sources (e.g., Crunchbase/Dealroom) for historical matching; 2) Pilot enrollments of ~600 early-stage firms across two geographies (approx. 300 per region) recruited via sensing hubs, accelerators, diaspora scouts, and procurement MOUs; 3) Firm telemetry: monthly revenues, paying-customer counts, retention, geolocation; 4) Impact indicators aligned to a 5-factor scorecard (depth, breadth, durability, additionality, measurability) with baseline and 12-month follow-up; 5) Ethnographic interview transcripts and hub network maps; 6) Legal/registry records for survival and funding events. Baselines: a) status-quo capital (equity without concession/TA); b) matched historical controls via propensity scores. Experimental arms (randomized or quasi-random where RCT not feasible): A1 = equity + &lt;=20% first-loss tranche + TA; A2 = equity + &lt;=20% first-loss tranche (no TA); A3 = equity + TA (no concession); Control = equity only. Randomization: where possible, randomize TA allocation among eligible firms; randomize scout referrals into pilots to test sourcing-channel effects. Sample-size estimate: to detect a 15 percentage-point increase in 12-month survival or MOU-conversion with 80% power and alpha=0.05 requires ~200 firms per arm (simple two-arm calculation); use cluster adjustments if randomization clustered by hub. Evaluation metrics: 12-month revenue growth rate, probability of achieving verified impact milestones, customer retention, time-to-next-round (survival analysis/Cox), cost-per-verified-outcome. Causal inference: difference-in-differences with propensity-score or entropy balancing, instrumental-variables where exogenous variation exists (e.g., timing of DFI disbursements), synthetic controls for market-level shocks, and causal forests for heterogeneous treatment effects (causal forests = a machine-learning method that estimates treatment effects across subgroups). Network analysis: build multilayer temporal networks (investor-founder, founder-customer, TA-provider) and estimate ERGMs (exponential random graph models, a statistical model for network structure) to test whether network position mediates treatment effects. Ablations: remove TA (A2), remove first-loss concession (A3), vary concession level (10% vs 20%), and compare sourcing channels (sensing-hub vs diaspora scout) in separate subgroup analyses. Robustness: temporal cross-validation, placebo tests, pre-analysis plan (pre-register hypotheses and endpoints), and falsification outcomes (outcomes that should not change if effect is causal).</w:t>
      </w:r>
    </w:p>
    <w:p>
      <w:r>
        <w:t xml:space="preserve"> </w:t>
      </w:r>
    </w:p>
    <w:p>
      <w:pPr>
        <w:pStyle w:val="Heading2"/>
      </w:pPr>
      <w:r>
        <w:t>Risk Factors And Limitations</w:t>
      </w:r>
    </w:p>
    <w:p>
      <w:r>
        <w:t>Data access constraints: commercial databases may be incomplete and telemetry may be sparse or costly to license. Selection bias: pilots recruit through hubs and scouts that may not represent broader founder populations. Measurement error: self-reported revenue and impact claims may be noisy or gamed. Small sample sizes: regulatory or recruitment limits may reduce power below planned minimum detectable effects. Attribution confounding: market shocks or simultaneous DFI programs may obscure causal attribution. Generalization limits: results from two pilot geographies may not transfer to other regions or sectors. Ethical/privacy risks: cross-border data-sharing triggers GDPR/KYC/AMLD concerns and may limit geolocation or user-level data. Operational risks: partner dropout, delays in MOUs, or verifier independence issues. Technical limits: multilayer network models and causal forests require computational resources and expert tuning, and may suffer from overfitting in small samples.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