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w:t>
      </w:r>
    </w:p>
    <w:p>
      <w:r>
        <w:t xml:space="preserve"> </w:t>
      </w:r>
    </w:p>
    <w:p>
      <w:pPr>
        <w:pStyle w:val="Heading2"/>
      </w:pPr>
      <w:r>
        <w:t>Title</w:t>
      </w:r>
    </w:p>
    <w:p>
      <w:r>
        <w:t>A mixed-method causal evaluation of corporate populist messaging on consumer purchases and market polarization</w:t>
      </w:r>
    </w:p>
    <w:p>
      <w:r>
        <w:t xml:space="preserve"> </w:t>
      </w:r>
    </w:p>
    <w:p>
      <w:pPr>
        <w:pStyle w:val="Heading2"/>
      </w:pPr>
      <w:r>
        <w:t>Short Hypothesis</w:t>
      </w:r>
    </w:p>
    <w:p>
      <w:r>
        <w:t>Exposure to corporate messages that frame the firm as 'the people' (people-vs-elite populist framing) causes an increase in purchase probability for the firm's product among consumers with pre-existing populist attitudes, relative to exposure to neutral corporate messaging.</w:t>
      </w:r>
    </w:p>
    <w:p>
      <w:r>
        <w:t xml:space="preserve"> </w:t>
      </w:r>
    </w:p>
    <w:p>
      <w:pPr>
        <w:pStyle w:val="Heading2"/>
      </w:pPr>
      <w:r>
        <w:t>Related Work</w:t>
      </w:r>
    </w:p>
    <w:p>
      <w:r>
        <w:t>Prior work splits into three strands: computational frame detection (automated identification of political frames in text and multimodal content), consumer behavior experiments (testing how message framing affects preferences), and political-populism scholarship (theory and discourse analysis of people-vs-elite rhetoric). Computational studies provide scalable frame labels but often rely on text-only features and lack multimodal validation. Consumer experiments identify short-term attitude shifts but rarely link to real purchases or market outcomes. Political-populism literature gives rich concepts but limited operational measures usable for large datasets. Common limitations: weak causal identification of firm messaging on sales or market polarization, limited multimodal (text+image+video+audio) approaches, poor measurement validity for 'genuineness' versus strategic rhetoric, and scarce cross-national or cross-sector generalization.</w:t>
      </w:r>
    </w:p>
    <w:p>
      <w:r>
        <w:t xml:space="preserve"> </w:t>
      </w:r>
    </w:p>
    <w:p>
      <w:pPr>
        <w:pStyle w:val="Heading2"/>
      </w:pPr>
      <w:r>
        <w:t>Abstract</w:t>
      </w:r>
    </w:p>
    <w:p>
      <w:r>
        <w:t>This project tests whether and how corporate use of populist logic shapes consumption. We operationalize 'consumption populism' as firm messaging that frames the company as representing 'the people' and activates identity and affective channels. Our approach combines (1) multimodal computational detection of populist frames in corporate communications, (2) pre-registered randomized experiments with incentivized purchase decisions to estimate individual-level causal effects, and (3) quasi-experimental time-series methods (synthetic control and difference-in-differences) to link messaging pulses to firm sales and market polarization. The main contribution is a reproducible pipeline that produces validated frame detectors, measured causal effects on purchase behavior, and macro-level evidence of market segmentation. Expected outcomes include estimates of the average treatment effect of populist messaging on purchase choice, evidence on mediation paths (identity activation, perceived authenticity), and quantified market consequences such as changes in market share and polarization indices. Results will inform theory on corporate political communication and provide empirically grounded measures for policy discussion.</w:t>
      </w:r>
    </w:p>
    <w:p>
      <w:r>
        <w:t xml:space="preserve"> </w:t>
      </w:r>
    </w:p>
    <w:p>
      <w:pPr>
        <w:pStyle w:val="Heading2"/>
      </w:pPr>
      <w:r>
        <w:t>Experiments</w:t>
      </w:r>
    </w:p>
    <w:p>
      <w:r>
        <w:t>Datasets: (1) Multimodal corporate corpus: CEO statements, ads, YouTube speeches, press releases, and social posts scraped from X/Twitter API, YouTube API, CrowdTangle, company sites, and ad archives (sample: 500 firms, 2018–2025). (2) Sales data: weekly scanner sales and market-share panels from Nielsen/IRI (or national scanner substitutes) for matched product categories. (3) Audience data: panel survey sample (n=3,000) recruited to be representative on age/region, recruited via a panel vendor; linkable browser/ad-exposure logs for field pilot where permitted. (4) Regulatory and lobbying event timeline: public filings and policy event databases. Baselines: (A) text-only TF-IDF + logistic regression classifier for populist frames; (B) pre-trained sentiment/frame detectors; (C) no-treatment control in experiments. Models and technical setup: create gold-standard annotation (10,000 multimodal items) labeled for frame type, affect, and 'genuineness' (strategic vs genuine). Fine-tune transformer models (RoBERTa/XLM-R; these are deep neural language models pre-trained on large text) for frame detection. Build multimodal fusion by concatenating CLIP image-text embeddings with text transformer outputs. Randomized experiment: online 2x2 factorial design varying (people-vs-elite framing vs neutral) × (high-authenticity cues vs low-authenticity), n=3,000, primary outcome = incentivized purchase choice (binary) and willingness-to-pay (continuous). Pre-register primary contrast: ATE between people-frame and neutral among subsample with high baseline populist attitudes. Field pilot: randomized ad delivery to users on partner e-commerce platform with tracked click-to-purchase conversion (if partner available). Macro causal tests: for firms with identified message pulses, run synthetic control (SC) at firm-product level using donor pool of same-industry firms matched on pre-treatment 12-month sales trend and observables; run difference-in-differences (DiD) across regions when messaging is geographically targeted, with matching on covariates. Pre-specified robustness checks: pre-trend tests, placebo treatment dates, varying donor-pool selection rules, Oster bounds for omitted variable bias, lag structure sensitivity. Evaluation metrics: classifier F1 (per-frame), calibration, ATE with 95% CI and p-values, change in market share in percentage points, polarization metrics (modularity and E-I index on consumer interaction networks). Ablations: (1) text-only vs multimodal model; (2) affect cues removed vs present; (3) excluding audience segmentation features vs including them. Power and sample size: power calculations pre-registered to detect small-to-moderate effects (Cohen's d ~0.2) with alpha=0.05 and 80% power for primary experiment.</w:t>
      </w:r>
    </w:p>
    <w:p>
      <w:r>
        <w:t xml:space="preserve"> </w:t>
      </w:r>
    </w:p>
    <w:p>
      <w:pPr>
        <w:pStyle w:val="Heading2"/>
      </w:pPr>
      <w:r>
        <w:t>Risk Factors And Limitations</w:t>
      </w:r>
    </w:p>
    <w:p>
      <w:r>
        <w:t>1) Data access constraints: commercial scanner panels and platform APIs may be restricted or costly. 2) Annotation bias: coder disagreement on 'genuineness' and frame boundaries may reduce label quality. 3) Measurement error: automated multimodal detection may misclassify irony, sarcasm, or coded signals. 4) Identification threats: simultaneous shocks (competitor actions, macro events) can confound quasi-experimental inference. 5) External validity: experimental samples and partnered platforms may not generalize across countries, cultures, or sectors. 6) Ethical and legal limits: political profiling or audience inference raises privacy and IRB/legal constraints that may limit linking messaging to individual outcomes. 7) Computational cost: training multimodal transformer models and running large SC/DiD panels requires substantial compute. 8) Small effect sizes: true treatment effects may be small and require large samples to detect, raising resource needs.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