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risk_perception_homogeneity</w:t>
      </w:r>
    </w:p>
    <w:p>
      <w:r>
        <w:t xml:space="preserve"> </w:t>
      </w:r>
    </w:p>
    <w:p>
      <w:pPr>
        <w:pStyle w:val="Heading2"/>
      </w:pPr>
      <w:r>
        <w:t>Title</w:t>
      </w:r>
    </w:p>
    <w:p>
      <w:r>
        <w:t>Text-mining and multi-source measurement of corporate risk-perception homogeneity and its effect on systemic financial risk</w:t>
      </w:r>
    </w:p>
    <w:p>
      <w:r>
        <w:t xml:space="preserve"> </w:t>
      </w:r>
    </w:p>
    <w:p>
      <w:pPr>
        <w:pStyle w:val="Heading2"/>
      </w:pPr>
      <w:r>
        <w:t>Short Hypothesis</w:t>
      </w:r>
    </w:p>
    <w:p>
      <w:r>
        <w:t>Increases in cross-firm homogeneity of risk perceptions cause larger systemic financial losses by inducing synchronized asset sales and correlated reductions in leverage.</w:t>
      </w:r>
    </w:p>
    <w:p>
      <w:r>
        <w:t xml:space="preserve"> </w:t>
      </w:r>
    </w:p>
    <w:p>
      <w:pPr>
        <w:pStyle w:val="Heading2"/>
      </w:pPr>
      <w:r>
        <w:t>Related Work</w:t>
      </w:r>
    </w:p>
    <w:p>
      <w:r>
        <w:t>Prior work uses three main approaches: (1) market-implied measures (option-implied tail probabilities, CDS spreads) that capture traded risk beliefs but mix beliefs with price movements; (2) textual risk-sentiment methods that extract risk language from filings and calls but often rely on simple dictionaries or unvalidated classifiers; and (3) network and agent-based contagion models that show amplification from balance-sheet links but typically assume exogenous, homogeneous beliefs. Limitations across these approaches include single-source measurement (not fused across text and markets), weak validation of textual instruments (limited annotation and inter-annotator checks), endogeneity between observed risk signals and firm outcomes, scarce causal identification, and opaque calibration of simulation parameters. Existing methods therefore struggle to (a) separate belief homogeneity from common shocks to prices, (b) quantify tail synchronization of beliefs, and (c) map measured homogeneity to policy-relevant systemic outcomes with transparent calibration.</w:t>
      </w:r>
    </w:p>
    <w:p>
      <w:r>
        <w:t xml:space="preserve"> </w:t>
      </w:r>
    </w:p>
    <w:p>
      <w:pPr>
        <w:pStyle w:val="Heading2"/>
      </w:pPr>
      <w:r>
        <w:t>Abstract</w:t>
      </w:r>
    </w:p>
    <w:p>
      <w:r>
        <w:t>We study whether synchronized corporate beliefs about downside risk increase systemic financial losses. We construct a multi-source homogeneity index by extracting downside risk language from firms' 10-Ks and earnings calls using a supervised NLP pipeline, and by computing option-implied and CDS-implied downside probabilities. The index fuses these sources via a dynamic factor model and tail-dependence measures (copulas) to capture extreme co-movement in perceptions. We link the index to firm balance-sheet choices and market outcomes using quasi-experiments (e.g., rating-method changes, regulatory announcements) and dynamic panel methods to identify causal effects. We calibrate a two-layer agent-based network simulator with empirically measured homogeneity to quantify how belief alignment amplifies fire sales, margin spirals, and expected systemic loss. Main contributions are: a validated multi-source measure of belief homogeneity, causal estimates of its effect on leverage and joint distress, and calibrated stress-test counterfactuals that map homogeneity levels to operational early-warning thresholds. Expected outcome: an actionable, validated indicator for monitoring systemic risk arising from synchronized corporate beliefs.</w:t>
      </w:r>
    </w:p>
    <w:p>
      <w:r>
        <w:t xml:space="preserve"> </w:t>
      </w:r>
    </w:p>
    <w:p>
      <w:pPr>
        <w:pStyle w:val="Heading2"/>
      </w:pPr>
      <w:r>
        <w:t>Experiments</w:t>
      </w:r>
    </w:p>
    <w:p>
      <w:r>
        <w:t>Datasets: EDGAR 10-K filings (text), earnings call transcripts (text), OptionMetrics (option-implied tails) or public option quotes fallback, Markit/DTCC CDS spreads or public CDS panels fallback, CRSP/Compustat for fundamentals, TRACE for transaction liquidity or trade-level public proxies, 13F/mutual-fund holdings for common exposures, and a sample of CFO survey responses where available. Time window: 2004–2024, quarterly aggregation. Sample selection: firms with available text and at least one market-implied instrument (options or CDS); separate analyses for financials, industrials, real estate, and technology sectors. Preprocessing: standard text cleaning, sentence segmentation, named-entity masking; align text and market signals to the same quarter. NLP model and labels: fine-tune a transformer on an annotated corpus labeling statements expressing downside probability, caution, or uncertainty; target inter-annotator Cohen's kappa &gt; 0.7. Homogeneity index (Ht): compute firm-level downside scores; extract common factor via dynamic factor model; compute cross-sectional dispersion (variance) and tail dependence via pairwise copula tail-dependence coefficients; combine into composite Ht. Baselines: (A) dictionary-based textual risk dispersion, (B) cross-sectional variance of implied volatilities, (C) single-source Ht variants (text-only, options-only), (D) sector-fixed-effect dispersion. Identification and estimation: event-study around candidate shocks (pre-define events, see list below), difference-in-differences with matched controls, instrumental variables using distance-to-media-hub and staggered disclosure timing, and dynamic panel estimation (system GMM) for persistence and endogeneity. Evaluation metrics: predictive R-squared for changes in leverage and asset sale volumes, AUC for distress classification (default or severe downgrade within 12 months), coefficient and p-value for DiD estimates, change in CDS spread in basis points, mean change in leverage in percentage points, systemic-loss metrics from simulator (expected shortfall at 99% (ES99) and probability of &gt;10% aggregate default). Power and MDE: perform pre-experiment power calculations to detect a minimum detectable effect (MDE) of 0.25–0.5 percentage points change in firm leverage with 80% power and two-sided 5% significance, and 10–20 basis points change in CDS spreads; report sample sizes and achievable MDE per sector. Ablation studies: (1) remove each data source from Ht (text, options, CDS) and recompute predictive metrics; (2) replace copula tail-dependence with simple variance to test sensitivity to tail modeling; (3) vary factor extraction method (PCA vs dynamic factor) and compare out-of-sample predictive power. Simulation experiments: initialize agent-based network states using observed Ht and run stress scenarios varying homogeneity parameter w across low/medium/high, record ES99, cascade-size distributions, and time-to-recovery. Validation: out-of-sample test (train on pre-2015, test on 2015–2024) and placebo-event checks (pseudo-events). Pre-registration: register primary hypotheses, event list with dates, estimation code, and balance tests before main estimation.</w:t>
      </w:r>
    </w:p>
    <w:p>
      <w:r>
        <w:t xml:space="preserve"> </w:t>
      </w:r>
    </w:p>
    <w:p>
      <w:pPr>
        <w:pStyle w:val="Heading2"/>
      </w:pPr>
      <w:r>
        <w:t>Risk Factors And Limitations</w:t>
      </w:r>
    </w:p>
    <w:p>
      <w:r>
        <w:t>Measurement error: NLP labels may be noisy; inter-annotator disagreement can bias Ht. Market-signal confounding: option- and CDS-implied measures reflect both beliefs and realized-price moves, making separation hard. Endogeneity: firms may change disclosures in response to unobserved shocks that also affect systemic outcomes, causing reverse causality. Data access: proprietary feeds (OptionMetrics, Markit) may be unavailable or costly; public fallbacks reduce sample size and bias toward larger firms. Sample bias: firms with traded options/CDS are selective (large, liquid), limiting generalization to small firms. Network unobservability: inter-firm exposures are partially unobserved, so simulator calibration relies on inferred or synthetic networks, increasing parameter uncertainty. Calibration risk: simulation results depend on prior choices and parameter ranges; wrong priors yield misleading thresholds. Scalability and compute: large-scale NLP, copula estimation, and repeated agent-based simulations require strong compute resources. Policy mapping limits: mapping Ht to operational regulatory thresholds may be sensitive to model assumptions and lead to false positives or moral-hazard side effects. Cross-country/time validity: language, disclosure styles, and market structure differ across countries and over time, limiting replication outside the studied sample.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