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repair_initiation_ca_esl_ghana</w:t>
      </w:r>
    </w:p>
    <w:p>
      <w:r>
        <w:t xml:space="preserve"> </w:t>
      </w:r>
    </w:p>
    <w:p>
      <w:pPr>
        <w:pStyle w:val="Heading2"/>
      </w:pPr>
      <w:r>
        <w:t>Title</w:t>
      </w:r>
    </w:p>
    <w:p>
      <w:r>
        <w:t>Conversation-analytic multimodal investigation of repair initiation as a mechanism for resolving communication breakdowns in Ghanaian ESL classrooms</w:t>
      </w:r>
    </w:p>
    <w:p>
      <w:r>
        <w:t xml:space="preserve"> </w:t>
      </w:r>
    </w:p>
    <w:p>
      <w:pPr>
        <w:pStyle w:val="Heading2"/>
      </w:pPr>
      <w:r>
        <w:t>Short Hypothesis</w:t>
      </w:r>
    </w:p>
    <w:p>
      <w:r>
        <w:t>Repair initiations that include multimodal signals (gaze shifts or pointing gestures) cause a higher probability of full uptake by learners than repair initiations that consist of verbal signals alone in Ghanaian ESL classroom interactions.</w:t>
      </w:r>
    </w:p>
    <w:p>
      <w:r>
        <w:t xml:space="preserve"> </w:t>
      </w:r>
    </w:p>
    <w:p>
      <w:pPr>
        <w:pStyle w:val="Heading2"/>
      </w:pPr>
      <w:r>
        <w:t>Related Work</w:t>
      </w:r>
    </w:p>
    <w:p>
      <w:r>
        <w:t>Conversation analysis (CA) has produced detailed taxonomies of repair initiation and sequential interaction patterns (self/other initiation, open vs. specific forms). Recent work extends CA with multimodal analysis (gaze, gesture, posture) and with NLP-assisted annotation, and some studies propose automatic detectors for repair tokens. Limitations across existing approaches: multimodal channels are often analyzed qualitatively rather than integrated quantitatively; longitudinal links from repair events to measurable learning gains are sparse; automated tools struggle with L2 classroom speech (high ASR error, diarization failures); coding rules and edge-case decision procedures are under-specified, reducing interrater reliability; sample sizes and power estimates are frequently omitted, limiting generalization. These gaps leave unresolved how multimodal repair components causally influence uptake and short-term learning outcomes in classroom settings.</w:t>
      </w:r>
    </w:p>
    <w:p>
      <w:r>
        <w:t xml:space="preserve"> </w:t>
      </w:r>
    </w:p>
    <w:p>
      <w:pPr>
        <w:pStyle w:val="Heading2"/>
      </w:pPr>
      <w:r>
        <w:t>Abstract</w:t>
      </w:r>
    </w:p>
    <w:p>
      <w:r>
        <w:t>Repair initiation resolves trouble in hearing, speaking, or understanding during classroom talk, but we lack reproducible, multimodal evidence linking specific repair forms to learning outcomes. This study applies a conversation-analytic method combined with synchronized multimodal transcription and NLP tools to 52 hours of video-recorded Ghanaian ESL classrooms. We produce a CA-informed coding scheme (repair type, initiator form, placement, embodied cues such as gaze and gesture, and uptake outcome) with explicit edge-case rules. We implement a reproducible pipeline for alignment, diarization, multimodal feature extraction, and sequence-labeling models to detect and classify repair initiations automatically (sequence-labeling = labeling each moment in time as repair/non-repair). Quantitative models (generalized linear mixed models) test how multimodal repair signals predict uptake probability and short-term gains on targeted form tests. Contributions: a validated multimodal coding scheme, an annotated pilot corpus, an open pipeline for detection and analysis, and empirical estimates of the effect of embodied repair cues on learner uptake. Results will inform teacher practice by identifying repair patterns that support measurable uptake.</w:t>
      </w:r>
    </w:p>
    <w:p>
      <w:r>
        <w:t xml:space="preserve"> </w:t>
      </w:r>
    </w:p>
    <w:p>
      <w:pPr>
        <w:pStyle w:val="Heading2"/>
      </w:pPr>
      <w:r>
        <w:t>Experiments</w:t>
      </w:r>
    </w:p>
    <w:p>
      <w:r>
        <w:t>Datasets: primary corpus = 52 hours of video from Ghanaian ESL classrooms (diverse proficiency levels, activity types). Pilot set = 10–15 hours fully annotated. Sampling target for full study: ~30 classrooms, 3–5 focal students per classroom, repeated sessions across a school term. Data splits: event-level train/dev/test = 70/15/15; held-out classroom test (generalization) reserved. Annotation: multi-pass ELAN workflow (orthographic Jeffersonian tier, multimodal tiers for gaze/gesture/posture, repair-event tags, outcome codes). Baselines: (A) manual CA-only coding (human expert), (B) audio-only automated detector (ASR+sequence-labeler), (C) text+prosody model (ASR transcripts + prosodic features), Proposed model: multimodal joint model (transformer-based encoder over aligned audio/text/video features + CRF sequence labeler) where CRF = conditional random field for sequence smoothing. Metrics: detection precision/recall/F1 for repair-event detection; macro F1 and accuracy for repair-type classification; Cohen’s kappa/Krippendorff’s alpha for interrater reliability; GLMM fixed-effect estimates (odds ratios) and 95% CI for uptake prediction (uptake = full/partial/none, modeled with multinomial or binomial logit as appropriate); pre/post targeted form test effect size (Cohen’s d) for short-term learning. Experimental setup: annotate pilot with double-coding on 20–30% to compute reliability; train multimodal models on event windows (±2s around candidate tokens) with class weighting; use 5-fold cross-validation and held-out classroom evaluation. Ablations: remove gaze features, remove gesture features, remove timing/pause features, remove authority axis variable (teacher vs peer) to quantify contribution of each channel. Statistical models: GLMM with logit link for binary uptake (full vs not), fixed effects = repair_type, initiator_authority, gaze_present (binary), gesture_present (binary), pause_length (ms), activity_type, proficiency; random intercepts for student and classroom, random slopes for time. Handling rare cells: collapse low-frequency categories, use penalized likelihood (Firth) where needed. Missing data: multiple imputation for covariates; sensitivity analysis excluding imputed cases. Evaluation thresholds: model generalization if held-out classroom F1 within 5% of dev F1; annotation acceptable if Cohen’s kappa &gt;= 0.70.</w:t>
      </w:r>
    </w:p>
    <w:p>
      <w:r>
        <w:t xml:space="preserve"> </w:t>
      </w:r>
    </w:p>
    <w:p>
      <w:pPr>
        <w:pStyle w:val="Heading2"/>
      </w:pPr>
      <w:r>
        <w:t>Risk Factors And Limitations</w:t>
      </w:r>
    </w:p>
    <w:p>
      <w:r>
        <w:t>ASR and diarization failures on L2 classroom speech (high background noise, overlapping talk) may produce noisy transcripts and misaligned features; gaze and gesture detection can fail due to occlusion, camera angle, or low resolution, reducing multimodal coverage. Annotation bias and fatigue may lower interrater reliability; some repair types and rare initiate forms may produce sparsely populated categories, limiting statistical power and requiring category collapse (reduces granularity). Sample is geographically and pedagogically specific (Ghanaian ESL), so generalization to other contexts may be limited. Ethical constraints with minors (consent, retention, sharing) may restrict data release and sample size. Compute limits for multimodal model training (video+audio) may constrain model complexity. Temporal alignment errors (milliseconds) can alter measured pause/overlap timings and affect classification. Finally, teacher-driven variation and classroom routines may confound causal inference between repair type and learning outcomes.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