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saudi_21c_teaching_integration</w:t>
      </w:r>
    </w:p>
    <w:p>
      <w:r>
        <w:t xml:space="preserve"> </w:t>
      </w:r>
    </w:p>
    <w:p>
      <w:pPr>
        <w:pStyle w:val="Heading2"/>
      </w:pPr>
      <w:r>
        <w:t>Title</w:t>
      </w:r>
    </w:p>
    <w:p>
      <w:r>
        <w:t>A sequential exploratory mixed-methods study of English and mathematics teachers' integration of 21st century skills and barriers in Saudi Arabia</w:t>
      </w:r>
    </w:p>
    <w:p>
      <w:r>
        <w:t xml:space="preserve"> </w:t>
      </w:r>
    </w:p>
    <w:p>
      <w:pPr>
        <w:pStyle w:val="Heading2"/>
      </w:pPr>
      <w:r>
        <w:t>Short Hypothesis</w:t>
      </w:r>
    </w:p>
    <w:p>
      <w:r>
        <w:t>A 6-month blended professional development intervention will cause a statistically significant increase in teachers' observed facilitation of 21st century skills (≥0.4 standard deviations) and in student performance-task scores (≥0.3 standard deviations) compared to matched control schools.</w:t>
      </w:r>
    </w:p>
    <w:p>
      <w:r>
        <w:t xml:space="preserve"> </w:t>
      </w:r>
    </w:p>
    <w:p>
      <w:pPr>
        <w:pStyle w:val="Heading2"/>
      </w:pPr>
      <w:r>
        <w:t>Related Work</w:t>
      </w:r>
    </w:p>
    <w:p>
      <w:r>
        <w:t>Prior work has mapped curriculum standards to 21st century skills, developed observation rubrics, and piloted professional development (PD) to promote skills such as critical thinking, collaboration, communication, and creativity. Quantitative studies often rely on teacher self-reports, which overestimate enacted practice. Observation-based studies provide richer enacted-practice data but face reliability and scalability limits because rubrics require extensive rater training. PD trials show short-term gains in teacher practice when coaching is included, but many are small, non-randomized, or lack student performance measures that align to skills. Measurement work highlights challenges in cross-domain and cross-group validity (measurement invariance) and rater consistency (inter-rater reliability), especially in culturally specific settings. Few studies address gender-segregated contexts, national exam constraints, or technology inequities together. Unresolved issues include robust causal identification, validated performance tasks linked to content standards, and operational norms for fidelity and scalability in contexts like Saudi Arabia.</w:t>
      </w:r>
    </w:p>
    <w:p>
      <w:r>
        <w:t xml:space="preserve"> </w:t>
      </w:r>
    </w:p>
    <w:p>
      <w:pPr>
        <w:pStyle w:val="Heading2"/>
      </w:pPr>
      <w:r>
        <w:t>Abstract</w:t>
      </w:r>
    </w:p>
    <w:p>
      <w:r>
        <w:t>This study examines how English and mathematics teachers in Saudi Arabia integrate four 21st century skills—critical thinking, collaboration, communication, and creativity—into classroom instruction and what barriers prevent such integration. We use a sequential exploratory mixed-methods approach: classroom observations and interviews inform a context-valid questionnaire and performance tasks, followed by a pilot 6-month blended professional development (PD) with coaching. The main contribution is an empirically validated set of instruments (observation rubric, performance tasks, and survey) and a causal test of a PD model that emphasizes lesson design, collaborative inquiry, and assessment aligned to national standards. Expected outcomes are validated measures of enacted practice, evidence on major systemic and classroom barriers, and an estimate of PD effect sizes on teacher facilitation and student performance. Findings will inform curriculum mapping, scalable PD design, and assessment adaptations for Saudi classrooms, providing practical evidence for policymakers and teacher educators.</w:t>
      </w:r>
    </w:p>
    <w:p>
      <w:r>
        <w:t xml:space="preserve"> </w:t>
      </w:r>
    </w:p>
    <w:p>
      <w:pPr>
        <w:pStyle w:val="Heading2"/>
      </w:pPr>
      <w:r>
        <w:t>Experiments</w:t>
      </w:r>
    </w:p>
    <w:p>
      <w:r>
        <w:t>Datasets: Stratified sample of schools across regions, public/private and gender-segregated types. Pilot: 12 schools (6 intervention, 6 matched controls) grades 7–10, 3–4 target teachers per school, ~20 students per class. Full study target: 40–60 schools. Collected data: baseline/midline/endline classroom observations using a behavioral rubric (double-coded), teacher interviews, lesson plans and student artifacts, teacher surveys (self-efficacy, reported practices), and subject-specific performance tasks scored with rubrics. Baselines: (1) business-as-usual (no PD), (2) PD without coaching (ablation), (3) matched non-randomized controls. Evaluation metrics: observed facilitation score (rubric composite), student performance-task score (content + skills rubric), survey scales (alpha/omega), inter-rater reliability (ICC for observation), measurement invariance tests (configural/metric/scalar). Analysis setup: multilevel models (students nested in classes nested in schools) to estimate treatment effects; difference-in-differences (pre-post) for non-randomized comparisons; structural equation modeling (SEM) to link latent teacher-practice constructs to student outcomes. Ablation: compare full PD (workshop+coaching+PLCs) vs workshop-only to isolate coaching effect. Robustness checks: treatment-by-fidelity interaction, sensitivity to missing data using multiple imputation, and tests of differential item functioning (DIF) across gender and region. Rater procedures: training, calibration exercises, and ICC target ≥0.75.</w:t>
      </w:r>
    </w:p>
    <w:p>
      <w:r>
        <w:t xml:space="preserve"> </w:t>
      </w:r>
    </w:p>
    <w:p>
      <w:pPr>
        <w:pStyle w:val="Heading2"/>
      </w:pPr>
      <w:r>
        <w:t>Risk Factors And Limitations</w:t>
      </w:r>
    </w:p>
    <w:p>
      <w:r>
        <w:t>Ethics and access: delayed IRB or MOE approvals and restricted access to gender-segregated sites. Sampling bias: volunteer schools may not represent national variation. Measurement risks: observer effect (teachers change behavior under observation), low inter-rater reliability, and failure of measurement invariance across gender or regions. Intervention risks: contamination between intervention and control schools, low PD uptake, or insufficient coaching dosage. Data quality: incomplete or low-quality student artifacts and limited technology in some schools. Generalization limits: findings may not transfer beyond Saudi public/private or to other grades. Causal limits: small pilot cluster counts limit power for precise causal estimates. Practical constraints: limited budget or personnel for extensive rater training and large-scale scaling. Computational limits: analyses require standard statistical computing only (no heavy compute), but complex SEM and multilevel simulations need experienced analysts.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