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gendered_telephone_corpus_variation</w:t>
      </w:r>
    </w:p>
    <w:p>
      <w:r>
        <w:t xml:space="preserve"> </w:t>
      </w:r>
    </w:p>
    <w:p>
      <w:pPr>
        <w:pStyle w:val="Heading2"/>
      </w:pPr>
      <w:r>
        <w:t>Title</w:t>
      </w:r>
    </w:p>
    <w:p>
      <w:r>
        <w:t>A corpus-based variationist analysis of gendered lexical, grammatical, and pragmatic variation in spontaneous telephone conversations</w:t>
      </w:r>
    </w:p>
    <w:p>
      <w:r>
        <w:t xml:space="preserve"> </w:t>
      </w:r>
    </w:p>
    <w:p>
      <w:pPr>
        <w:pStyle w:val="Heading2"/>
      </w:pPr>
      <w:r>
        <w:t>Short Hypothesis</w:t>
      </w:r>
    </w:p>
    <w:p>
      <w:r>
        <w:t>After controlling for age, dialect, and interlocutor relation, speaker self-identified gender causes systematic differences in the frequency of hedging, tag questions, backchannels, and interruption rates in spontaneous telephone conversations.</w:t>
      </w:r>
    </w:p>
    <w:p>
      <w:r>
        <w:t xml:space="preserve"> </w:t>
      </w:r>
    </w:p>
    <w:p>
      <w:pPr>
        <w:pStyle w:val="Heading2"/>
      </w:pPr>
      <w:r>
        <w:t>Related Work</w:t>
      </w:r>
    </w:p>
    <w:p>
      <w:r>
        <w:t>Existing work combines variationist sociolinguistics, conversation analysis, and corpus methods to study gendered language in spoken data. Large telephone corpora have been used to describe dialogue acts and turn-level behavior, while smaller CA-style studies analyze detailed interactional mechanisms. Computational pipelines applying ASR and automatic parsing enable large-scale lexical and grammatical counts but often introduce bias across speaker groups. Prior annotation projects provide pragmatic and discourse tags but are limited by coarse codebooks, small annotated samples, or poor documentation of metadata and provenance. Prosodic analyses exist but typically require high-quality audio and careful normalization, so they are underused in telephone-band studies. Limitations common to prior approaches include insufficient intersectional metadata (non-binary gender, age, class), sparse gold-standard pragmatic exemplars, lack of reproducible codebooks and versioning, under-tested ASR bias mitigation, and weak reporting of reliability for micro-pragmatic categories.</w:t>
      </w:r>
    </w:p>
    <w:p>
      <w:r>
        <w:t xml:space="preserve"> </w:t>
      </w:r>
    </w:p>
    <w:p>
      <w:pPr>
        <w:pStyle w:val="Heading2"/>
      </w:pPr>
      <w:r>
        <w:t>Abstract</w:t>
      </w:r>
    </w:p>
    <w:p>
      <w:r>
        <w:t>This project tests how self-identified gender correlates with lexical, grammatical, and pragmatic choices in spontaneous telephone speech using a variationist, corpus-based method. We assemble a well-documented subset of telephone conversations with dense metadata and multi-tier annotations (orthographic, grammatical, pragmatic, time-aligned). Analyses combine mixed-effects statistical models with reproducible preprocessing: forced alignment, Universal Dependencies parses, and a reliability-tested pragmatic codebook. The main contribution is an openly documented pipeline and calibrated codebook that link gender metadata to measurable linguistic features (hedging, tag questions, backchannels, interruptions) while reporting annotation reliability and ASR bias diagnostics. Expected outcomes are (1) quantifiable effect sizes for gender-linked features after controlling for confounds, (2) a versioned gold-standard exemplar set for pragmatic categories, and (3) evaluation of how ASR and anonymization impact downstream gendered-language inferences. The deliverables enable reproducible, cross-validated study of gender as social practice in telephone interaction.</w:t>
      </w:r>
    </w:p>
    <w:p>
      <w:r>
        <w:t xml:space="preserve"> </w:t>
      </w:r>
    </w:p>
    <w:p>
      <w:pPr>
        <w:pStyle w:val="Heading2"/>
      </w:pPr>
      <w:r>
        <w:t>Experiments</w:t>
      </w:r>
    </w:p>
    <w:p>
      <w:r>
        <w:t>Datasets: primary dataset: Switchboard Dialogue Act Corpus (full corpus) with enriched metadata; pilot dataset: stratified sample of 100 calls (balanced by self-identified gender, age band, region, and interlocutor relation); gold-standard set: 10–20 annotated turns per pragmatic and gender-pragmatic category (time-aligned audio). Baselines: (A) analyses using original Switchboard transcripts and legacy metadata; (B) analyses using human-corrected gold transcripts and the new codebook; (C) ASR baseline: off-the-shelf ASR finetuned on generic speech; (D) ASR mitigation: balanced finetuned and augmented ASR pipeline. Annotation and preprocessing: forced-align audio (e.g., Montreal Forced Aligner) to produce word time stamps; tokenize and produce UD-compatible POS and dependency parses; pragmatic annotation units: TCU (turn-constructional unit) and token. Evaluation metrics: linguistic inference: odds ratios and log-odds with 95% confidence intervals, p-values with FDR correction, variance components and ICC (intra-class correlation); model fit: AIC/BIC; annotation quality: Cohen's kappa and Krippendorff's alpha per label; ASR: WER, per-group WER, substitution bias rate (lexeme-specific false substitution rate), precision/recall/F1 on extracted lexical/pragmatic markers. Statistical models: GLMMs for binary features (logit link), negative-binomial GLMMs for counts, random intercepts for speaker and conversation, random slopes for gender where supported; report full model formulas and seed values for reproducibility. Ablation studies: (1) gold transcripts vs ASR transcripts to measure ASR impact on effect estimates; (2) full feature set vs prosody-ablated set (remove f0, pitch-range, speech-rate) to test prosody contribution; (3) models with and without intersectional controls (age, dialect, SES) to test confounding. Power and sample planning: use pilot variance components to compute required sample sizes to detect odds ratios &gt;=1.3 at 80% power for common features. All code, model specs, and random seeds will be versioned and published alongside datasets where consent permits.</w:t>
      </w:r>
    </w:p>
    <w:p>
      <w:r>
        <w:t xml:space="preserve"> </w:t>
      </w:r>
    </w:p>
    <w:p>
      <w:pPr>
        <w:pStyle w:val="Heading2"/>
      </w:pPr>
      <w:r>
        <w:t>Risk Factors And Limitations</w:t>
      </w:r>
    </w:p>
    <w:p>
      <w:r>
        <w:t>Technical failure modes: ASR errors concentrated by dialect or gender can bias linguistic counts; forced-alignment failures in low-SNR segments reduce time-aligned reliability. Annotation risks: low inter-annotator agreement for fine-grained micro-pragmatic categories; sparse examples for rare, intersectional labels. Data constraints: limited sample sizes for non-binary and small demographic groups reduce statistical power. Acoustic limits: telephone-band audio may prevent reliable extraction of some prosodic measures (e.g., fine-grained voice quality). Privacy and legal constraints: consent restrictions and cross-jurisdictional laws (GDPR, CCPA) may limit data sharing and public release. Anonymization risks: voice conversion or scrambling may alter prosodic features needed for analysis or may be reversible in some cases. Generalization: results from American telephone speech may not generalize to other modalities, registers, or language varieties. Compute and scalability: full retraining of bias-mitigation ASR models and large-scale mixed-effects modeling with complex random structures may require substantial compute and time.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