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fuzzy_precautionary_area_tw</w:t>
      </w:r>
    </w:p>
    <w:p>
      <w:r>
        <w:t xml:space="preserve"> </w:t>
      </w:r>
    </w:p>
    <w:p>
      <w:pPr>
        <w:pStyle w:val="Heading2"/>
      </w:pPr>
      <w:r>
        <w:t>Title</w:t>
      </w:r>
    </w:p>
    <w:p>
      <w:r>
        <w:t>Fuzzy-distinction assessment of precautionary areas for offshore wind farm planning along the western coast of Taiwan</w:t>
      </w:r>
    </w:p>
    <w:p>
      <w:r>
        <w:t xml:space="preserve"> </w:t>
      </w:r>
    </w:p>
    <w:p>
      <w:pPr>
        <w:pStyle w:val="Heading2"/>
      </w:pPr>
      <w:r>
        <w:t>Short Hypothesis</w:t>
      </w:r>
    </w:p>
    <w:p>
      <w:r>
        <w:t>A fuzzy-distinction aggregation of AIS-derived navigation density, ecological-sensitivity maps, and metocean/bathymetry factors produces alpha-cut precautionary zones that have higher spatial agreement (Jaccard index) with expert and stakeholder no-go polygons than (a) simple distance-buffer exclusion around shipping lanes and (b) a single-step weighted-sum crisp-threshold method.</w:t>
      </w:r>
    </w:p>
    <w:p>
      <w:r>
        <w:t xml:space="preserve"> </w:t>
      </w:r>
    </w:p>
    <w:p>
      <w:pPr>
        <w:pStyle w:val="Heading2"/>
      </w:pPr>
      <w:r>
        <w:t>Related Work</w:t>
      </w:r>
    </w:p>
    <w:p>
      <w:r>
        <w:t>Existing approaches to precautionary zoning for offshore wind include crisp exclusion buffers (fixed-distance zones around shipping lanes or protected areas), multi-criteria decision analysis (MCDA) using weighted linear combinations, and some fuzzy-logic or suitability-mapping studies that map single or small sets of inputs. AIS-based shipping-density mapping and marine GIS (MGIS) spatial analyses are commonly used to represent navigation risk. Limitations: crisp buffers ignore continuous variation and do not represent uncertainty; weighted-sum MCDA often lacks transparent treatment of parameter uncertainty and can be sensitive to arbitrary weight choices; prior fuzzy applications frequently omit systematic calibration, Monte Carlo uncertainty propagation, or global sensitivity analysis and rarely model temporal metocean extremes (typhoons) or spatially correlated input error. Many prior pipelines are not designed for reproducible parameter priors elicited from stakeholders nor for producing robust alpha-cut (confidence) zones.</w:t>
      </w:r>
    </w:p>
    <w:p>
      <w:r>
        <w:t xml:space="preserve"> </w:t>
      </w:r>
    </w:p>
    <w:p>
      <w:pPr>
        <w:pStyle w:val="Heading2"/>
      </w:pPr>
      <w:r>
        <w:t>Abstract</w:t>
      </w:r>
    </w:p>
    <w:p>
      <w:r>
        <w:t>We address the problem of delineating defensible precautionary areas (PAs) for offshore wind farm planning along western Taiwan by combining multi-source spatial evidence with a fuzzy-distinction framework. The method converts AIS ship-navigation density, ecological sensitivity maps, bathymetry, and metocean indicators into per-cell fuzzy membership values (a number between 0 and 1 expressing precautionary suitability). Multiple aggregation operators (min, weighted average, product, ordered weighted averaging) produce precautionary-membership outputs whose alpha-cuts (threshold contours) are interpreted as candidate PAs. We propagate parameter uncertainty using Monte Carlo sampling (membership parameters and weights drawn from priors) to obtain per-cell distributions and derive robust PAs as cells exceeding an alpha in a high fraction of runs. Main contributions: a reproducible spatial pipeline for rasterizing and normalizing marine inputs, a parameter-elicitation + calibration protocol, and quantitative uncertainty and sensitivity analyses that produce confidence-ranked PA scenarios. Expected outcome: defensible PA maps with explicit uncertainty that improve spatial agreement with stakeholder no-go zones and support regulator decisions.</w:t>
      </w:r>
    </w:p>
    <w:p>
      <w:r>
        <w:t xml:space="preserve"> </w:t>
      </w:r>
    </w:p>
    <w:p>
      <w:pPr>
        <w:pStyle w:val="Heading2"/>
      </w:pPr>
      <w:r>
        <w:t>Experiments</w:t>
      </w:r>
    </w:p>
    <w:p>
      <w:r>
        <w:t>Datasets: (1) AIS vessel tracks (≥2 years) aggregated to density rasters; (2) high-resolution bathymetry and seabed substrate; (3) ecological layers: seabird and marine mammal density kernels, protected-area polygons, seagrass/mudflat maps; (4) metocean fields (ERA5 + regional hindcast for wind/wave extremes); (5) nautical charts and radar/visual exclusion zones; (6) stakeholder/expert exemplar no-go polygons for calibration and validation. Pilot extent: a 100 km alongshore strip of western Taiwan extending 30 km offshore (~3000 km2). Grid resolutions: primary 100 m cell and comparative 500 m cell. Baselines: (A) fixed-distance buffer (e.g., 1–3 km) around shipping lanes; (B) weighted-sum MCDA with global normalization and a single crisp threshold; (C) product t-norm without uncertainty propagation. Metrics: Jaccard index and Kappa for polygon overlap; AUC/ROC for hotspot prediction using expert polygons as positives; Hausdorff distance for boundary shifts; per-cell mean and SD of precautionary-membership; Sobol total-effect indices for global sensitivity; area vs confidence trade-off curves. Setup: implement pipeline in Python (rasterio, numpy, geopandas), parameterize membership functions (Gaussian, trapezoid, triangular, logistic) with priors from expert elicitation. Calibration: optimize priors and weights with Bayesian optimization to maximize Jaccard/AUC on calibration exemplar polygons using spatial 5-fold block cross-validation (block size 10 km). Uncertainty propagation: Latin Hypercube or Sobol sampling with 2,000 draws for main runs; perform ablation studies: remove metocean inputs, remove ecological inputs, and compare aggregation operators (min, weighted average, product, OWA). Report runtimes, per-cell statistics, and sensitivity indices.</w:t>
      </w:r>
    </w:p>
    <w:p>
      <w:r>
        <w:t xml:space="preserve"> </w:t>
      </w:r>
    </w:p>
    <w:p>
      <w:pPr>
        <w:pStyle w:val="Heading2"/>
      </w:pPr>
      <w:r>
        <w:t>Risk Factors And Limitations</w:t>
      </w:r>
    </w:p>
    <w:p>
      <w:r>
        <w:t>Data quality and coverage: sparse or biased ecological surveys (seasonal gaps) and coarse offshore bathymetry will degrade membership accuracy. Temporal mismatch: metocean extremes (typhoons) and seasonal animal movements may not be fully captured by available time windows. Calibration bias: exemplar polygons from stakeholders may reflect social or economic preferences rather than ecological risk, biasing optimized priors. Spatial dependence: Monte Carlo draws that assume independent parameter perturbations will understate uncertainty when inputs have spatially correlated errors. Computational cost: high-resolution grids (100 m) with thousands of Monte Carlo runs may exceed local compute and memory limits. Validation limits: lack of independent ground-truth for some ecological layers reduces ability to definitively validate model outputs. Generalization: parameter priors and calibrated weights may not transfer to other regions without re-elicitation and re-calibration. Regulatory acceptance: fuzzy outputs and alpha-cut interpretations may be unfamiliar to non-technical regulators, limiting immediate operational uptake.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