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dance_therapy_rehab_bibliometrics</w:t>
      </w:r>
    </w:p>
    <w:p>
      <w:r>
        <w:t xml:space="preserve"> </w:t>
      </w:r>
    </w:p>
    <w:p>
      <w:pPr>
        <w:pStyle w:val="Heading2"/>
      </w:pPr>
      <w:r>
        <w:t>Title</w:t>
      </w:r>
    </w:p>
    <w:p>
      <w:r>
        <w:t>Longitudinal bibliometric analysis of dance therapy research in rehabilitation (2000–2024)</w:t>
      </w:r>
    </w:p>
    <w:p>
      <w:r>
        <w:t xml:space="preserve"> </w:t>
      </w:r>
    </w:p>
    <w:p>
      <w:pPr>
        <w:pStyle w:val="Heading2"/>
      </w:pPr>
      <w:r>
        <w:t>Short Hypothesis</w:t>
      </w:r>
    </w:p>
    <w:p>
      <w:r>
        <w:t>Higher interdisciplinary collaboration within author teams causes greater normalized citation impact for dance therapy studies in rehabilitation published between 2000 and 2024.</w:t>
      </w:r>
    </w:p>
    <w:p>
      <w:r>
        <w:t xml:space="preserve"> </w:t>
      </w:r>
    </w:p>
    <w:p>
      <w:pPr>
        <w:pStyle w:val="Heading2"/>
      </w:pPr>
      <w:r>
        <w:t>Related Work</w:t>
      </w:r>
    </w:p>
    <w:p>
      <w:r>
        <w:t>Prior work shows a rising number of studies exploring dance therapy's emotional, cognitive, and physical benefits in rehabilitation, with notable focus areas such as Parkinson's disease, stroke, and fall prevention in older adults. Bibliometric and narrative reviews to date use tools like VOSviewer, Bibliometrix, and CiteSpace to map co-authorship and thematic clusters but are often cross-sectional, limited to single databases, or short time windows. Existing empirical studies are methodologically heterogeneous, with many small samples, few randomized controlled trials, inconsistent outcome measures, and geographic concentration in high-income settings. Limits in prior bibliometric work include inconsistent cleaning and disambiguation methods, lack of pre-registered protocols, limited sensitivity analyses (e.g., full vs fractional counting), and scarce integration of clinical taxonomy (outcome domains) into thematic mapping. These gaps hinder reproducible, longitudinal mapping of intellectual structure and the link between collaboration patterns and research impact.</w:t>
      </w:r>
    </w:p>
    <w:p>
      <w:r>
        <w:t xml:space="preserve"> </w:t>
      </w:r>
    </w:p>
    <w:p>
      <w:pPr>
        <w:pStyle w:val="Heading2"/>
      </w:pPr>
      <w:r>
        <w:t>Abstract</w:t>
      </w:r>
    </w:p>
    <w:p>
      <w:r>
        <w:t>We address the need for a reproducible, longitudinal mapping of research on dance therapy in rehabilitation from 2000 to 2024. Using comprehensive bibliographic exports and established mapping tools, we quantify publication and citation trends, identify influential authors, institutions and countries, and map collaboration networks and thematic evolution. The main contribution is a pre-registered, versioned bibliometric pipeline that standardizes data cleaning (deduplication, author disambiguation), applies both full and fractional counting, and integrates clinical outcome taxonomies to stratify topics. We test whether measures of interdisciplinary collaboration predict normalized citation impact and whether thematic clusters shift toward clinical trials and mechanistic studies over time. Expected outcomes include reproducible figures (trend plots, co-authorship maps, co-citation networks), a ranked list of cornerstone works, and evidence-based recommendations for future empirical research and equity-focused dissemination. The study aims to inform researchers, clinicians, and funders about the field's intellectual structure and actionable gaps.</w:t>
      </w:r>
    </w:p>
    <w:p>
      <w:r>
        <w:t xml:space="preserve"> </w:t>
      </w:r>
    </w:p>
    <w:p>
      <w:pPr>
        <w:pStyle w:val="Heading2"/>
      </w:pPr>
      <w:r>
        <w:t>Experiments</w:t>
      </w:r>
    </w:p>
    <w:p>
      <w:r>
        <w:t>Datasets: export full records (authors, affiliations, title, abstract, keywords, cited references, DOI, publication year, journal subject categories, language) from Web of Science Core Collection and Scopus on a specified date (timestamped), supplemented by PubMed; include conference proceedings and reviews; limit years 2000–2024. Preprocessing: deduplicate by DOI/PMID exact match then title fuzzy-match (Levenshtein distance threshold 2% of length); disambiguate authors using ORCID where available, else algorithmic matching by normalized name + affiliation + coauthor overlap (explain: normalized name = lowercased, punctuation removed); flag and exclude retracted records. Baseline models: null model (no collaboration effect), model using author count only, model using interdisciplinary index (number of distinct journal subject categories per paper). Metrics: citation count, field- and year-normalized citation score (citations divided by average citations for same year and subject), h-index at author level, degree centrality and betweenness for co-authorship networks (degree = number of direct links; betweenness = bridging role), interdisciplinarity index (Shannon entropy over subject categories). Statistical tests: negative binomial regression for citation counts (to handle overdispersion), linear regression for normalized citation scores, include covariates (year, journal impact factor, document type). Time-series: joinpoint regression to detect trend changes in annual publications. Network analyses: Louvain community detection (modularity) for co-authorship and co-citation; CiteSpace burst detection for emerging keywords. Comparisons / ablations: (A) full counting vs fractional counting (fractional = credit divided by number of authors) to test robustness of collaboration effect; (B) database-limited analyses (WoS-only vs Scopus-only) to test sensitivity; (C) with vs without non-English records to assess language bias. Evaluation: report regression coefficients, 95% confidence intervals, p-values, model fit (AIC/BIC), effect sizes, and network modularity scores. Reproducibility: supply timestamped raw exports, sanitized CSVs, and scripts (R Bibliometrix + VOSviewer input) with configuration files specifying thresholds.</w:t>
      </w:r>
    </w:p>
    <w:p>
      <w:r>
        <w:t xml:space="preserve"> </w:t>
      </w:r>
    </w:p>
    <w:p>
      <w:pPr>
        <w:pStyle w:val="Heading2"/>
      </w:pPr>
      <w:r>
        <w:t>Risk Factors And Limitations</w:t>
      </w:r>
    </w:p>
    <w:p>
      <w:r>
        <w:t>Database coverage bias (not all journals indexed in selected databases) may miss regional or non-English work; language bias if translations are incomplete; citation time-lag disadvantages recent papers; author name disambiguation errors can misassign works and distort networks; residual confounding when attributing causal effect of collaboration on citations (observational data cannot prove causation definitively); small sample sizes for rare rehabilitation conditions limit subgroup analyses; differences across databases (indexing rules, subject categories) may produce inconsistent results; retracted or low-quality papers may inflate metrics if not detected; compute limits when processing large citation networks may constrain resolution of community detection; generalization is limited to indexed literature and the 2000–2024 period.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