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islam_aesthetic_comparativeness</w:t>
      </w:r>
    </w:p>
    <w:p>
      <w:r>
        <w:t xml:space="preserve"> </w:t>
      </w:r>
    </w:p>
    <w:p>
      <w:pPr>
        <w:pStyle w:val="Heading2"/>
      </w:pPr>
      <w:r>
        <w:t>Title</w:t>
      </w:r>
    </w:p>
    <w:p>
      <w:r>
        <w:t>Mixed-method comparative analysis of evaluative language to measure how aesthetic comparativeness ranks Islamic practices in Morocco and Indonesia</w:t>
      </w:r>
    </w:p>
    <w:p>
      <w:r>
        <w:t xml:space="preserve"> </w:t>
      </w:r>
    </w:p>
    <w:p>
      <w:pPr>
        <w:pStyle w:val="Heading2"/>
      </w:pPr>
      <w:r>
        <w:t>Short Hypothesis</w:t>
      </w:r>
    </w:p>
    <w:p>
      <w:r>
        <w:t>Stronger self-reported Sufi affiliation causes a higher frequency of relational and spiritual comparative expressions (measured as comparative metaphors and humility-qualified comparative tokens per 1,000 words) than lower or no Sufi affiliation.</w:t>
      </w:r>
    </w:p>
    <w:p>
      <w:r>
        <w:t xml:space="preserve"> </w:t>
      </w:r>
    </w:p>
    <w:p>
      <w:pPr>
        <w:pStyle w:val="Heading2"/>
      </w:pPr>
      <w:r>
        <w:t>Related Work</w:t>
      </w:r>
    </w:p>
    <w:p>
      <w:r>
        <w:t>Prior work includes ethnographic studies that document local aesthetic judgments, philological studies tracing evaluative lexemes (jamāl, ḥusn, baraka), and digital-corpus/NLP efforts that extract sentiment and metaphors. Existing approaches are often siloed: ethnography provides rich context but lacks large-scale quantification; philology supplies fine-grained meaning but rarely integrates spoken or visual data at scale; NLP and corpus methods enable scale but struggle with historical scripts, low-resource languages, and fine-grained theological qualifiers (humility markers, baraka senses). Visual and material analyses are frequently separate from textual corpora. As a result, there is no widely available cross-lingual, multi-genre annotated corpus that links philological categories, ethnographic metadata, and visual annotations, and few studies use mixed statistical models that account for participant and item variation.</w:t>
      </w:r>
    </w:p>
    <w:p>
      <w:r>
        <w:t xml:space="preserve"> </w:t>
      </w:r>
    </w:p>
    <w:p>
      <w:pPr>
        <w:pStyle w:val="Heading2"/>
      </w:pPr>
      <w:r>
        <w:t>Abstract</w:t>
      </w:r>
    </w:p>
    <w:p>
      <w:r>
        <w:t>This project tests how people use comparative aesthetic language—words and metaphors that rank beauty, moral propriety, and spiritual efficacy—across Islamic practices in Morocco and Indonesia. We combine field experiments, annotated multilingual corpora, philological lexicons, visual annotations, and computational models. The approach measures comparative tokens (for example, metaphors of light or mirror and humility qualifiers like mashāʾallāh) in speech, poetry, sermons, social media, and images, and links them to participant attributes (notably Sufi affiliation). The main contribution is an open, cross-lingual annotated corpus and a validated mixed-method pipeline that quantifies how theological and social factors shape comparativeness. Expected outcomes include (1) empirical estimates of how affiliation predicts comparative language use and (2) reproducible tools (lexicons, annotation schema, models) for analyzing evaluative religious language. Impact: enable comparative, replicable analysis of religious aesthetics and support interdisciplinary work across anthropology, philology, and NLP.</w:t>
      </w:r>
    </w:p>
    <w:p>
      <w:r>
        <w:t xml:space="preserve"> </w:t>
      </w:r>
    </w:p>
    <w:p>
      <w:pPr>
        <w:pStyle w:val="Heading2"/>
      </w:pPr>
      <w:r>
        <w:t>Experiments</w:t>
      </w:r>
    </w:p>
    <w:p>
      <w:r>
        <w:t>Datasets: (1) Text corpus: 400 texts (200 Morocco, 200 Indonesia) balanced by genre (50 sermons, 50 praise-poems, 50 social-media threads, 50 literary/ethnographic texts per region). (2) Annotated segments: target 10,000 annotated segments across languages tagged for jamāl/adab/baraka, metaphors (light/mirror/fragrance), and humility markers. (3) Visual corpus: 200 high-resolution image cases (shrines, calligraphy, installations) with layered annotations. (4) Field experiment: pairwise preference task with N=800 participants (400 per country), stratified by Sufi affiliation (200 Sufi-affiliated, 200 non-Sufi per country); each participant completes 20 randomized pairwise trials giving 16,000 responses. Baselines: (A) lexicon-count heuristic (counting precompiled philological tags per 1,000 words), (B) monolingual transformer classifier fine-tuned per language (transformer: a modern neural model for text), (C) multilingual transformer fine-tuned jointly, (D) human-only coding gold standard. Tasks and metrics: (1) Comparative-marker detection: precision, recall, F1. (2) Annotation reliability: Cohen's kappa (agreement between coders). (3) Predictive models: mixed-effects logistic regression (a statistical model that accounts for repeated measures; random effects: participant, item) predicting use of relational/spiritual comparatives; report odds ratios, 95% CI, p-values, marginal and conditional R^2. (4) Classifier performance: F1, AUC (area under ROC curve), and calibration. Experimental setup: OCR and normalization pipeline for non-Latin scripts; split corpora into train/dev/test (70/15/15); cross-validate classifiers with 5 folds; pre-register statistical models. Ablation studies: (i) remove philological lexicon features from classifiers, (ii) remove humility markers from predictors in mixed models, (iii) drop visual annotations to test contribution of material culture. Compare model performance and hypothesis test results across ablations.</w:t>
      </w:r>
    </w:p>
    <w:p>
      <w:r>
        <w:t xml:space="preserve"> </w:t>
      </w:r>
    </w:p>
    <w:p>
      <w:pPr>
        <w:pStyle w:val="Heading2"/>
      </w:pPr>
      <w:r>
        <w:t>Risk Factors And Limitations</w:t>
      </w:r>
    </w:p>
    <w:p>
      <w:r>
        <w:t>OCR and script issues: high error rates on historical and decorated scripts may reduce usable text. Annotation disagreement: semantic ambiguity (polysemy of jamāl/ḥusn/baraka) may lower intercoder agreement. Sample bias and generalization: findings limited to Morocco and Indonesia and to sampled genres and communities. Ethical limits: some ritual contexts may forbid recording or sharing, reducing data completeness. Small effect sizes: cultural signals may be subtle and require larger samples than planned. Low-resource NLP: models may underperform on Persian/Ottoman/vernacular variants due to limited training data. Confounds: media exposure, urbanization, and socioeconomic status may correlate with affiliation and complicate causal claims. Compute and storage: multilingual OCR, transformers, and image processing require substantial compute resources. Measurement limits: automatic methods cannot fully capture nuanced theological meanings such as baraka (spiritual blessing) without expert input.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