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resilience_wineries_spain</w:t>
      </w:r>
    </w:p>
    <w:p>
      <w:r>
        <w:t xml:space="preserve"> </w:t>
      </w:r>
    </w:p>
    <w:p>
      <w:pPr>
        <w:pStyle w:val="Heading2"/>
      </w:pPr>
      <w:r>
        <w:t>Title</w:t>
      </w:r>
    </w:p>
    <w:p>
      <w:r>
        <w:t>Survey-based OLS analysis of how internal firm attributes and perceived economic, environmental, and social challenges shape robustness, adaptability, and transformability in Spanish wineries</w:t>
      </w:r>
    </w:p>
    <w:p>
      <w:r>
        <w:t xml:space="preserve"> </w:t>
      </w:r>
    </w:p>
    <w:p>
      <w:pPr>
        <w:pStyle w:val="Heading2"/>
      </w:pPr>
      <w:r>
        <w:t>Short Hypothesis</w:t>
      </w:r>
    </w:p>
    <w:p>
      <w:r>
        <w:t>Higher firm-level innovation capacity and stronger rural commitment cause greater adaptive and transformative resilience scores (measured by survey-derived indices), controlling for firm size, firm structure, and perceived economic, environmental, and social challenges.</w:t>
      </w:r>
    </w:p>
    <w:p>
      <w:r>
        <w:t xml:space="preserve"> </w:t>
      </w:r>
    </w:p>
    <w:p>
      <w:pPr>
        <w:pStyle w:val="Heading2"/>
      </w:pPr>
      <w:r>
        <w:t>Related Work</w:t>
      </w:r>
    </w:p>
    <w:p>
      <w:r>
        <w:t>Existing work on agro-industrial resilience uses three main approaches: qualitative case studies of adaptive behaviors (rich narratives but limited generalizability), economic analyses of financial robustness (quantitative but often narrowly focused on liquidity and prices), and climate-impact studies that quantify exposure and yield risk (strong on hazards but weak on firm-level responses). Spatial and operational studies map exposure and supply-chain chokepoints but rarely link those maps to firm strategy or social capital. Limitations across prior approaches include small or non-representative samples, lack of integrated multi-dimensional indices linking social, operational, and financial capacities, weak causal identification (few credible instruments or event designs), and sparse measurement protocols for transformability (long-term structural change). Quantitative studies often omit social-network metrics and governance structures, while qualitative work seldom connects to econometric models. As a result, there is a gap for a mixed-methods, survey-driven quantitative analysis that combines internal firm attributes, perceived multi-type challenges, and reproducible resilience metrics.</w:t>
      </w:r>
    </w:p>
    <w:p>
      <w:r>
        <w:t xml:space="preserve"> </w:t>
      </w:r>
    </w:p>
    <w:p>
      <w:pPr>
        <w:pStyle w:val="Heading2"/>
      </w:pPr>
      <w:r>
        <w:t>Abstract</w:t>
      </w:r>
    </w:p>
    <w:p>
      <w:r>
        <w:t>This study quantifies how internal attributes of wineries—size, organizational structure, innovation capacity, and rural commitment—interact with perceived economic, environmental, and social challenges to shape three resilience dimensions: robustness, adaptability, and transformability. We use a cross-sectional survey of 411 Spanish wineries to construct survey-based indices for each resilience dimension and apply ordinary least squares (OLS) regression models to estimate direct effects and interactions. Main contributions: (1) a reproducible indicator set and codebook for absorptive/ adaptive/transformative capacities; (2) empirical estimates of how innovation and rural commitment alter strategic responses to multi-domain challenges; and (3) sensitivity comparisons of index weighting strategies (principal component vs theory-driven) and alternative estimators (IV and fixed-effects where panel or auxiliary data exist). Expected outcomes include clear, testable estimates of key drivers of resilience and an analytic workflow that policymakers and cooperatives can use to target interventions in rural agro-industries.</w:t>
      </w:r>
    </w:p>
    <w:p>
      <w:r>
        <w:t xml:space="preserve"> </w:t>
      </w:r>
    </w:p>
    <w:p>
      <w:pPr>
        <w:pStyle w:val="Heading2"/>
      </w:pPr>
      <w:r>
        <w:t>Experiments</w:t>
      </w:r>
    </w:p>
    <w:p>
      <w:r>
        <w:t>Datasets: primary survey (411 wineries) with items on firm attributes, perceived economic/environmental/social challenges, and self-reported strategic responses; auxiliary data: PDO registry (firm type, location), regional climate exposure layers (heat days, SPEI drought index), basic financial indicators where available (revenues, liquidity proxies), and social-network name-generator outputs for a subsample. Data preprocessing: impute missing values with multiple imputation; standardize continuous variables (mean=0, sd=1); construct three outcome indices (robustness, adaptability, transformability) via (a) PCA-based scores and (b) theory-driven weighted sums (weights in codebook). Baseline models: OLS regressions (ordinary least squares is linear regression) with heteroskedasticity-robust clustered standard errors at PDO-region level: outcome = β0 + β1 innovation + β2 rural_commitment + β3 size + β4 structure + β5 perceived_challenges + β6 innovation*perceived_challenges + covariates + ε. Alternative estimators: IV regression with instruments (candidate: distance to cooperative hub, historical cooperative density) and fixed-effects models for any assembled panel. Evaluation metrics: coefficient significance (p-values), standardized effect sizes (standardized β), adjusted R-squared, RMSE for predictive checks, first-stage F-stat for instrument strength, Hansen/Sargan overidentification tests. Robustness and ablation studies: (1) compare PCA vs theory-driven index weighting; (2) drop innovation or rural_commitment to quantify contribution; (3) replace OLS with IV and compare coefficient magnitudes; (4) quantile regressions to test heterogeneity across firm sizes; (5) placebo tests on non-shock periods if panel data available. Power analysis: compute minimum detectable effect (Cohen's f2) given N=411, α=0.05, target power=0.8, and model predictor count; report detectable effect sizes and adjust for clustering. Reporting: full codebook, pre-analysis plan, and version-controlled scripts for reproducibility.</w:t>
      </w:r>
    </w:p>
    <w:p>
      <w:r>
        <w:t xml:space="preserve"> </w:t>
      </w:r>
    </w:p>
    <w:p>
      <w:pPr>
        <w:pStyle w:val="Heading2"/>
      </w:pPr>
      <w:r>
        <w:t>Risk Factors And Limitations</w:t>
      </w:r>
    </w:p>
    <w:p>
      <w:r>
        <w:t>Survey response bias and self-reporting errors in perceived challenges and self-assessed responses. Limited access to proprietary financial records may restrict precision of financial resilience measures. Cross-sectional design (if panel not assembled) limits causal claims; endogeneity risk (e.g., innovation may be endogenous) can bias OLS estimates. Candidate instruments may fail exclusion restrictions (instrument affects outcome only through the regressor), weakening IV validity. Small subgroup samples (e.g., large firms, specific PDOs) reduce statistical power for heterogeneous effects. Geocoding errors and missing registry records may bias spatial exposure metrics. Climate-model downscaling and yield-response parameters carry uncertainty that propagates into stress tests. Composite index choices (PCA vs theory weights) can change rankings and interpretation. Inter-assessor variability in any qualitative/FMEA scores can introduce measurement noise. Generalization beyond Spanish wineries or to other agro-industries may be limited.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