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fruit_voucher_rct_ng_vn</w:t>
      </w:r>
    </w:p>
    <w:p>
      <w:r>
        <w:t xml:space="preserve"> </w:t>
      </w:r>
    </w:p>
    <w:p>
      <w:pPr>
        <w:pStyle w:val="Heading2"/>
      </w:pPr>
      <w:r>
        <w:t>Title</w:t>
      </w:r>
    </w:p>
    <w:p>
      <w:r>
        <w:t>Randomized controlled trial testing whether fruit vouchers increase fruit affordability and consumption in peri-urban and urban households in Nigeria and Vietnam</w:t>
      </w:r>
    </w:p>
    <w:p>
      <w:r>
        <w:t xml:space="preserve"> </w:t>
      </w:r>
    </w:p>
    <w:p>
      <w:pPr>
        <w:pStyle w:val="Heading2"/>
      </w:pPr>
      <w:r>
        <w:t>Short Hypothesis</w:t>
      </w:r>
    </w:p>
    <w:p>
      <w:r>
        <w:t>Providing targeted fruit vouchers to peri-urban and urban households in Nigeria and Vietnam causes an increase in household fruit consumption (measured in average daily servings per person) relative to households that do not receive vouchers.</w:t>
      </w:r>
    </w:p>
    <w:p>
      <w:r>
        <w:t xml:space="preserve"> </w:t>
      </w:r>
    </w:p>
    <w:p>
      <w:pPr>
        <w:pStyle w:val="Heading2"/>
      </w:pPr>
      <w:r>
        <w:t>Related Work</w:t>
      </w:r>
    </w:p>
    <w:p>
      <w:r>
        <w:t>Existing approaches to increase nutritious food consumption include direct vouchers, cash transfers, in-kind food aid, behavioral nudges, and supply-side subsidies. Prior randomized controlled trials (RCTs) show vouchers and cash can raise short-term purchases, while nudges sometimes change choice but less often total intake. Supply-side studies document that market constraints and seasonality can limit availability. Limitations in prior work include: many studies examine single countries and short time windows, making it hard to observe market equilibrium effects (price or supply responses); few studies randomize voucher intensity across markets to identify general-equilibrium spillovers; measurement often relies on self-report without objective redemption or receipt verification; biomarker validation is rare; and counterfactuals often omit direct comparisons between vouchers and equal-value cash or in-kind transfers. Many studies also lack pre-specified econometric plans for spatial spillovers and multiple hypothesis correction. These gaps leave open questions on affordability, market effects, equity, and sustained diet changes.</w:t>
      </w:r>
    </w:p>
    <w:p>
      <w:r>
        <w:t xml:space="preserve"> </w:t>
      </w:r>
    </w:p>
    <w:p>
      <w:pPr>
        <w:pStyle w:val="Heading2"/>
      </w:pPr>
      <w:r>
        <w:t>Abstract</w:t>
      </w:r>
    </w:p>
    <w:p>
      <w:r>
        <w:t>Low fruit consumption in peri-urban and urban areas of low- and middle-income countries limits dietary quality. We propose a multi-site randomized controlled trial in Nigeria and Vietnam to test whether vouchers that lower the effective price of fruit increase household fruit affordability and consumption. The trial randomizes households and clusters to receive no support, vouchers of varying value/frequency, or an equal-value cash transfer, and introduces randomized saturation across markets to detect price and spillover effects. Primary measurement combines digital voucher redemption logs with repeated 24-hour dietary recalls and market price monitoring. Main contributions are (1) causal estimates of voucher effects on servings and affordability using intention-to-treat and instrumental-variable analyses, (2) market-level evidence on price transmission and spillovers using randomized saturation, and (3) policy-relevant cost-effectiveness metrics comparing vouchers and cash. Expected outcomes include clear estimates of incremental fruit intake per voucher dollar, evidence on whether vouchers distort market prices, and guidance for scalable nutrition policy.</w:t>
      </w:r>
    </w:p>
    <w:p>
      <w:r>
        <w:t xml:space="preserve"> </w:t>
      </w:r>
    </w:p>
    <w:p>
      <w:pPr>
        <w:pStyle w:val="Heading2"/>
      </w:pPr>
      <w:r>
        <w:t>Experiments</w:t>
      </w:r>
    </w:p>
    <w:p>
      <w:r>
        <w:t>Datasets: primary household panel surveys in selected peri-urban and urban clusters in Nigeria and Vietnam (baseline, midline at 3 months, endline at 12 months); voucher redemption logs (digital or photographed receipts); vendor and wholesale market surveys (weekly prices, stocks, margins); 2 non-consecutive 24-hour recalls per respondent and a 7-day food frequency questionnaire; optional biomarker sub-sample (plasma carotenoids or vitamin C) if cold-chain and assays available; geolocation of households and vendors. Baselines: (A) control (no transfer), (B) fruit vouchers - low value (weekly small amount), (C) fruit vouchers - high value (monthly lump sum), (D) equal-value unrestricted cash transfer, (E) voucher + supply-side vendor incentive. Evaluation metrics: primary — mean daily fruit servings per person, weekly fruit kilograms purchased; secondary — MDD-W dietary diversity score (explained: count of food groups), FIES food security score, effective price paid per kg, compensating variation (money needed to restore utility), voucher redemption rate, vendor stockouts, and biomarker levels where available. Statistical methods: estimate ITT (intention-to-treat) effects using clustered OLS with strata fixed effects and standard errors clustered at randomization unit; estimate LATE (local average treatment effect) by instrumenting redemption with assignment using two-stage least squares (2SLS) (explain: 2SLS uses random assignment as a tool to isolate causal effect for compliers). Market effects: exploit randomized saturation (variation in share of households treated per market) and estimate difference-in-differences with market fixed effects to identify price transmission; estimate spatial spillovers using distance-weighted regressions and spatial lag models (explain: spatial lag models account for outcomes in nearby areas affecting local outcomes). Multiple hypotheses: control false discovery using Romano-Wolf or Benjamini-Hochberg procedures. Experimental arms and ablations: compare vouchers vs cash to test price-targeted vs unrestricted transfers; within vouchers compare frequency (weekly vs monthly) and messaging (nutrition message vs neutral) as an ablation study; test supply-side vendor incentive vs none to estimate short-run supply response. Sample design: cluster-randomize at market/community level for saturation arms and randomize households within clusters for individual voucher arms; pre-specify power calculation inputs (detectable difference in servings) and ICC assumptions in pre-analysis plan. Analysis outputs: report ITT, LATE, heterogeneity by income and baseline intake, cost per additional serving, and simulated scaling costs.</w:t>
      </w:r>
    </w:p>
    <w:p>
      <w:r>
        <w:t xml:space="preserve"> </w:t>
      </w:r>
    </w:p>
    <w:p>
      <w:pPr>
        <w:pStyle w:val="Heading2"/>
      </w:pPr>
      <w:r>
        <w:t>Risk Factors And Limitations</w:t>
      </w:r>
    </w:p>
    <w:p>
      <w:r>
        <w:t>Spillovers and market equilibrium: vouchers may raise local fruit prices or shift supply, confounding household-level effects and limiting external validity. Seasonality and harvest cycles: seasonal price and availability changes can bias estimates if timing is misaligned. Non-compliance and fraud: low redemption, false receipts, or vendor misreporting can bias intention-to-treat and complier estimates. Attrition and missing data: differential dropout across arms may bias results and reduce power. Measurement error: self-reported recalls can misstate intake; biomarkers may be infeasible due to cold-chain or cost. Power and clustering: incorrect intracluster correlation (ICC) assumptions can leave the trial underpowered. Generalization limits: peri-urban/urban findings may not apply to rural or other countries. Supply-side constraints: short-run inelastic supply may produce transient price spikes that differ from long-run effects. Ethical and data protection constraints: cross-country legal rules may restrict data sharing and biomarker collection. Resource limits: vendor monitoring and high-frequency market surveys increase cost and logistical complexity, potentially reducing scalability of the trial design.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