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osh_ageing_productivity</w:t>
      </w:r>
    </w:p>
    <w:p>
      <w:r>
        <w:t xml:space="preserve"> </w:t>
      </w:r>
    </w:p>
    <w:p>
      <w:pPr>
        <w:pStyle w:val="Heading2"/>
      </w:pPr>
      <w:r>
        <w:t>Title</w:t>
      </w:r>
    </w:p>
    <w:p>
      <w:r>
        <w:t>Exploratory questionnaire-based mapping and evaluation of occupational safety and health interventions on productivity and performance in an ageing workforce</w:t>
      </w:r>
    </w:p>
    <w:p>
      <w:r>
        <w:t xml:space="preserve"> </w:t>
      </w:r>
    </w:p>
    <w:p>
      <w:pPr>
        <w:pStyle w:val="Heading2"/>
      </w:pPr>
      <w:r>
        <w:t>Short Hypothesis</w:t>
      </w:r>
    </w:p>
    <w:p>
      <w:r>
        <w:t>A combined package of ergonomic redesign, administrative controls, and tailored training causes an increase in objective productivity (units per hour) and a reduction in injury incidence among workers aged 50 and older compared with baseline or usual-practice controls.</w:t>
      </w:r>
    </w:p>
    <w:p>
      <w:r>
        <w:t xml:space="preserve"> </w:t>
      </w:r>
    </w:p>
    <w:p>
      <w:pPr>
        <w:pStyle w:val="Heading2"/>
      </w:pPr>
      <w:r>
        <w:t>Related Work</w:t>
      </w:r>
    </w:p>
    <w:p>
      <w:r>
        <w:t>Existing approaches focus on single-domain OSH interventions (ergonomic redesign, engineering controls, administrative controls, or training) and on objective or self-reported outcomes separately. Studies using wearables or observational time-motion methods measure biomechanical load but often in small samples and for short periods. Cluster and stepped-wedge trial designs have been used but rarely pre-specify mediation or account for functional heterogeneity in older workers. Limitations include inconsistent outcome definitions (productivity measures vary), high measurement burden from multiple sensor types, sparse validation of wearable-derived exposure metrics, limited long-term follow-up, weak reporting of implementation fidelity, scarce economic evaluations from employer perspective, underpowered cluster-sample calculations with uncertain intra-cluster correlation estimates, and poor attention to equity and representativeness for older subgroups. Mediation pathways (how reduced load or improved climate leads to productivity gains) remain under-tested because of timing and confounding issues.</w:t>
      </w:r>
    </w:p>
    <w:p>
      <w:r>
        <w:t xml:space="preserve"> </w:t>
      </w:r>
    </w:p>
    <w:p>
      <w:pPr>
        <w:pStyle w:val="Heading2"/>
      </w:pPr>
      <w:r>
        <w:t>Abstract</w:t>
      </w:r>
    </w:p>
    <w:p>
      <w:r>
        <w:t>Ageing workforces pose specific occupational safety and health (OSH) challenges that can affect productivity and performance. We propose an exploratory questionnaire-based study that maps common OSH interventions for workers aged 50+ and evaluates how contextual drivers and barriers shape their effects on objective productivity and safety outcomes. The approach combines multi-modal measurement: standardized questionnaires, objective productivity logs, and prioritized wearable sensors to capture biomechanical exposure. The main contribution is a mapped taxonomy of interventions linked to quantified changes in productivity and injury metrics, plus evidence on mediating pathways (for example, reduced biomechanical load or improved safety climate). Expected outcomes are: (1) ranked intervention types by observed impact on units per hour and injury rates, (2) validated, low-burden sensor and questionnaire protocols for older workers, and (3) preliminary estimates of effect sizes and economic return to guide powered trials. The study will inform scalable OSH strategies that balance safety, productivity, and equitable inclusion of ageing workers.</w:t>
      </w:r>
    </w:p>
    <w:p>
      <w:r>
        <w:t xml:space="preserve"> </w:t>
      </w:r>
    </w:p>
    <w:p>
      <w:pPr>
        <w:pStyle w:val="Heading2"/>
      </w:pPr>
      <w:r>
        <w:t>Experiments</w:t>
      </w:r>
    </w:p>
    <w:p>
      <w:r>
        <w:t>Datasets: multisite pilot data from 3 employers (one manufacturing plant, one healthcare facility, one logistics hub). Target enrollment: 12 clusters (production lines or wards) with 20 workers per cluster (240 workers total). Data collection windows: 2-week baseline, intervention roll-out, and follow-ups at 3, 6, and 12 months. Baselines: usual-practice control clusters measured in parallel; stepped-wedge or cluster-randomized assignment across clusters. Primary endpoints: 1) objective productivity = mean units produced per hour per worker (continuous); 2) injury incidence = injuries per 1000 worker-hours (count); secondary endpoint: pain score = mean numeric rating scale 0-10. Sensor plan: inertial measurement units (IMUs) on trunk and dominant wrist for all participants; surface EMG on a 20% random subsample for validation. Wear-time threshold: minimum 6 hours/day for 3 workdays per measurement wave. Baseline questionnaires: demographics, COPSOQ-like psychosocial items, presenteeism scale, and functional tests (grip strength, chair-stand). Baselines for sensors: lab calibration tasks (standardized lifts and reaches) to map sensor outputs to reference movements. Baselines for productivity: digital task logs or supervisor-validated counts. Experimental arms (ablation study): full package (ergonomics + administrative controls + tailored training), ergonomics-only, administrative-only, and control. Evaluation metrics: differences in means for productivity with 95% confidence intervals, incidence rate ratios for injuries, standardized mean differences for pain; report ICC (intra-cluster correlation) and cluster-level variance. Statistical models: multilevel mixed-effects models with random intercepts for cluster and worker and fixed effects for time; mediation analysis using causal mediation methods with mediator measured midline; sensitivity analyses using marginal structural models to address time-varying confounding. Power/sample-size example: to detect a 10% relative increase in units/hour with alpha=0.05, power=0.8, and assumed ICC=0.05, target 12 clusters with 20 workers each (240) is required; report alternative scenarios for ICC=0.02 and 0.10. Baseline comparators: usual-practice clusters and pre-post within-cluster changes. Additional ablation: compare IMU-only versus IMU+EMG for incremental predictive validity of biomechanical mediators. Economic evaluation: employer-perspective 1-year cost-effectiveness and ROI using intervention costs, estimated productivity gains, and injury-cost savings; present sensitivity analyses by discounting rates 0% and 3%. Missing data: pre-specify multiple imputation under MAR and a reported sensitivity analysis for MNAR.</w:t>
      </w:r>
    </w:p>
    <w:p>
      <w:r>
        <w:t xml:space="preserve"> </w:t>
      </w:r>
    </w:p>
    <w:p>
      <w:pPr>
        <w:pStyle w:val="Heading2"/>
      </w:pPr>
      <w:r>
        <w:t>Risk Factors And Limitations</w:t>
      </w:r>
    </w:p>
    <w:p>
      <w:r>
        <w:t>Measurement burden and dropout: wearing sensors and repeated questionnaires may reduce participation, especially among older workers. Sensor failure and data loss: IMU or EMG devices can fail or produce artifacts. Contamination: information or practices may spread between clusters and reduce contrasts. Limited generalizability: pilot sites may not represent all sectors, job types, or countries. Small sample/ICC uncertainty: intra-cluster correlation (ICC, a measure of similarity within clusters) may be larger than assumed, reducing power. Productivity measurement errors: units/hour may not capture quality or multi-tasking. Mediation confounding: unmeasured variables may bias mediation tests (mediator-outcome confounding). Privacy and re-identification risk: time-series sensor and administrative data may be re-identifiable if governance is weak. Wear-related harms: skin irritation or discomfort from devices. Equity and selection bias: differential recruitment or attrition by language, shift, gender, or health status can bias results. Resource limits: pilot budget and staff time may constrain fidelity monitoring and long-term follow-up. Scalability limits: interventions requiring expensive equipment or heavy supervision may not scale across small employers.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