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circular_osh_ecosystem_expert_study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cross-national qualitative expert study applying a circular-ecosystem perspective to guide design, implementation, evaluation, and follow-up of occupational safety and health interventions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Interventions developed using a circular-ecosystem perspective cause larger reductions in non-fatal lost-time injuries per 100 full-time equivalent workers and higher implementation fidelity than interventions developed without that perspective.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OSH research often tests single-component interventions or evaluates a single phase (design, implementation, or evaluation) and typically focuses on a single actor (worker or employer). Implementation science frameworks such as CFIR and RE-AIM have been used to study implementation determinants, while realist evaluation and systems approaches have been used to explain mechanisms and context dependence. Prior cross-national work is limited by non-harmonized outcome measures, lack of measurement invariance testing across languages, weak inclusion of informal-sector and migrant workers, and incomplete documentation of adaptations versus fidelity. Modeling studies have explored dynamics but rarely integrate harmonized empirical measures or multi-actor governance features. Data governance for cross-border analyses is underdeveloped and federated analytics approaches are seldom applied. These gaps limit comparability, transferability, and explanation of why interventions work in some settings but not others.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Problem: Occupational safety and health (OSH) interventions often fail to scale or transfer across countries because they treat actions as isolated rather than as part of a dynamic ecosystem of actors, data, materials, governance, and circular activities. Approach: We introduce a circular-ecosystem perspective that foregrounds processes, multi-actor roles, data and material flows, governance, and circular activities across intervention phases. We use a two-phase qualitative expert method (exploratory interviews, then focus group consensus) to define a Core OSH Outcome Set and an ecosystem framework, then pilot the approach in a cross-national stepped-wedge trial with harmonized measurement and multilevel evaluation. Contribution: The project provides a validated circular-ecosystem framework, a harmonized measurement manual, and empirical evidence on whether ecosystem-informed interventions improve implementation fidelity and reduce injuries. Expected impact: Improved cross-national comparability, clearer pathways (mechanisms) linking context to outcomes, and practical guidance for designing adaptable, scalable OSH interventions.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administrative injury registers (counts of fatalities and non-fatal lost-time injuries), workplace exposure monitoring (noise dB(A), respirable dust mg/m3, chemical biomarkers), standardized self-report modules (safety climate via COPSOQ, psychosocial risk scales, near-miss logs), HR records for sickness absence, denominators as full-time equivalents (FTE), occupational and industry codes (ISCO/NAICS), and process logs (FRAME adaptation records). Pilot sample: three countries chosen for policy and system diversity; per country 60 workplace clusters (total 180 clusters), average 50 workers per cluster, total ~9000 workers. Design: stepped-wedge cluster randomized trial with 5 implementation steps; each cluster observed for 12 months pre-implementation and 12 months post-implementation. Arms/Baselines: baseline usual-practice control evolving into intervention; two intervention variants for ablation: (A) full circular-ecosystem intervention and (B) ecosystem intervention without governance/actor-engagement components. Outcome metrics: primary outcome non-fatal lost-time injury (LTI) incidence per 100 FTE; secondary outcomes implementation fidelity (percent of planned components delivered), reach (% workers exposed), safety climate score change (continuous), measured exposure changes (continuous), near-miss rate per 100 FTE, sickness absence days per FTE. Evaluation metrics and models: mixed-effects Poisson or negative-binomial regression for count outcomes with random intercepts for cluster and country, linear mixed models for continuous outcomes, intracluster correlation coefficients (ICC), incidence rate ratios (IRR) with 95% CI, p-values two-sided alpha=0.05. Measurement validation: confirmatory factor analysis (CFA) for safety climate and psychosocial scales and measurement invariance testing across languages (configural, metric, scalar). Ablation studies: compare variant A vs B to quantify effect of governance/actor engagement; subgroup analyses by formal vs informal sector, migrant status, gender. Missing data: multiple imputation under missing-at-random and sensitivity analyses. Software: R packages lme4 or glmmTMB for mixed models, lavaan for CFA, mice for imputation. Power: with 180 clusters, 50 workers per cluster, ICC=0.02, the design has ~80% power to detect an IRR of 0.80 (20% reduction) for LTI at alpha=0.05. Reporting: pre-register analysis plan, publish measurement manual and code for reproducibility.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and design risks: low baseline event rates may reduce power; stepped-wedge assumptions (no time-varying confounders) may be violated. Data and measurement risks: underreporting of injuries, especially in informal sectors; differential measurement error across languages or cultures causing bias; limited availability or quality of exposure monitoring in low-resource sites. Sampling and generalization: pilot countries and selected workplaces may not represent all national contexts or sectors; informal-sector recruitment may be challenging and non-random. Implementation risks: variable buy-in from employers or worker groups may reduce delivery fidelity; adaptations may be necessary and complicate effect attribution. Ethical and safety risks: potential for employer retaliation or coercion in precarious worker populations; consent and anonymity challenges. Governance and legal risks: cross-border data sharing constraints and regulatory barriers may limit pooled analysis; federated analytics platforms require technical capacity. Modeling and validation limits: system-dynamics and agent-based models may not generalize beyond calibrated contexts and may be sensitive to parameter uncertainty. Resource constraints: costs for exposure monitoring, translation and cognitive testing, and capacity building in LMIC sites may be higher than budgeted.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