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ai_women_tourism_inclusivity</w:t>
      </w:r>
    </w:p>
    <w:p>
      <w:r>
        <w:t xml:space="preserve"> </w:t>
      </w:r>
    </w:p>
    <w:p>
      <w:pPr>
        <w:pStyle w:val="Heading2"/>
      </w:pPr>
      <w:r>
        <w:t>Title</w:t>
      </w:r>
    </w:p>
    <w:p>
      <w:r>
        <w:t>A qualitative participatory study testing whether responsibly designed AI tools reduce barriers to inclusivity for women entrepreneurs in tourism</w:t>
      </w:r>
    </w:p>
    <w:p>
      <w:r>
        <w:t xml:space="preserve"> </w:t>
      </w:r>
    </w:p>
    <w:p>
      <w:pPr>
        <w:pStyle w:val="Heading2"/>
      </w:pPr>
      <w:r>
        <w:t>Short Hypothesis</w:t>
      </w:r>
    </w:p>
    <w:p>
      <w:r>
        <w:t>Providing women tourism entrepreneurs with co-designed AI tools that include privacy-preserving visibility controls, multilingual chatbots, and AI pricing advice causes higher agency (decision-making), increased monthly bookings, and reduced time burdens compared to equivalent non-AI support over six months.</w:t>
      </w:r>
    </w:p>
    <w:p>
      <w:r>
        <w:t xml:space="preserve"> </w:t>
      </w:r>
    </w:p>
    <w:p>
      <w:pPr>
        <w:pStyle w:val="Heading2"/>
      </w:pPr>
      <w:r>
        <w:t>Related Work</w:t>
      </w:r>
    </w:p>
    <w:p>
      <w:r>
        <w:t>Existing work applies AI tools (recommenders, chatbots, pricing engines, translation) to support small businesses and tourism providers and studies algorithmic fairness methods to reduce bias. Human-centered design and participatory methods have been used to adapt digital tools for marginalized groups. Algorithmic audit research provides techniques to detect disparate impacts across groups. Limitations remain: (1) Many AI deployments lack co-designed privacy and safety features that women identify as essential. (Co-design means users participate in designing the tool.) (2) Prior fairness work often focuses on measurable datasets (ratings, clicks) but misses qualitative outcomes like agency, reputation risk, and time-use. (3) Studies rarely combine longitudinal, mixed-method evaluation with algorithmic audits to establish causal effects. (4) Intersectional analyses (age, caste/ethnicity, disability, migration) are under-represented. (5) Data governance and practical access to platform logs are frequently unresolved, limiting objective outcome measurement.</w:t>
      </w:r>
    </w:p>
    <w:p>
      <w:r>
        <w:t xml:space="preserve"> </w:t>
      </w:r>
    </w:p>
    <w:p>
      <w:pPr>
        <w:pStyle w:val="Heading2"/>
      </w:pPr>
      <w:r>
        <w:t>Abstract</w:t>
      </w:r>
    </w:p>
    <w:p>
      <w:r>
        <w:t>This study evaluates whether responsibly designed AI tools can reduce barriers to inclusivity for women entrepreneurs in the tourism sector. We use a participatory, qualitative-led approach framed by Rawls' theory of justice: women co-design AI features (privacy-preserving visibility controls, multilingual chatbots, and simple pricing advisors) and define the indicators of agency, safety, and economic outcomes. The main contribution is an integrated evaluation combining co-created indicators, qualitative interviews, focus groups, time-use diaries, prototype usability testing, and algorithmic audits to assess disparate impacts. Expected outcomes include measured changes in agency, bookings, revenue, time burden, and perceived safety, plus an operational indicator bank and audit methods for platform partners and policymakers. The study will produce evidence about which AI features have measurable positive effects, where risks persist, and practical guidance for designing and governing AI to support inclusive women’s entrepreneurship in tourism.</w:t>
      </w:r>
    </w:p>
    <w:p>
      <w:r>
        <w:t xml:space="preserve"> </w:t>
      </w:r>
    </w:p>
    <w:p>
      <w:pPr>
        <w:pStyle w:val="Heading2"/>
      </w:pPr>
      <w:r>
        <w:t>Experiments</w:t>
      </w:r>
    </w:p>
    <w:p>
      <w:r>
        <w:t>Datasets: (1) Baseline/midline/endline qualitative interviews and focus groups (approx. 180 women across 3 diverse sites; 60 per site). (2) Time-use diaries (daily logs for 14 days at baseline and again at midline). (3) Self-recorded booking/revenue ledgers when platform logs are unavailable. (4) Platform event logs where partner platforms consent (anonymized). (5) Prototype interaction logs and SUS usability scores. (SUS = System Usability Scale, a 0-100 usability score; explained plainly.) Baselines: (A) control group with no new AI tools (business-as-usual), (B) partial-AI group with single-feature tool (chatbot only), (C) full-AI group with combined features (chatbot + pricing advisor + visibility controls). Experimental design: stepped-wedge cluster rollout across the 3 sites over 6 months, randomizing order of site transitions; within-site participants are allocated to baseline, partial-AI, or full-AI arms where feasible. Sample targets: 180 participants total, with minimum 50 participants per arm across sites to enable subgroup analyses. Evaluation metrics: Agency score (co-created scale 0-10), monthly bookings count, monthly revenue (local currency), daily unpaid-care time (minutes), safety incident count (binary per month), digital capability score (0-10), SUS usability. Algorithmic fairness metrics: disparate impact ratio (DIR) for visibility/ranking (ratio of positive outcomes across groups), rank parity (difference in mean rank positions), and false positive/negative rates for automated recommendations. Analysis: mixed-effects linear regression for continuous outcomes (fixed effects: intervention arm, time; random effects: participant, site), mixed-effects logistic regression for binary outcomes, difference-in-differences (DiD) as robustness check. Pre-register primary outcomes: agency score, bookings, and unpaid-care time. Ablation study: compare full-AI vs partial-AI to measure marginal effect of visibility controls and pricing advisor. Audit comparison: run algorithmic audits on platform logs with and without anonymized profiles (synthetic counterfactuals created by swapping gender/language markers) to measure change in DIR and rank parity. Qualitative analysis: thematic coding mapped to indicators; triangulate with quantitative trends. Statistical tests: report effect sizes with 95% confidence intervals, p-values adjusted for multiple comparisons (Benjamini-Hochberg). Power note: with n&gt;=50 per arm, detect medium effect sizes (~d=0.5) on continuous outcomes with ~80% power; report exact power calculations in pre-registration. Data handling: pseudonymize participant IDs; where platform logs unavailable, rely on ledger proxies.</w:t>
      </w:r>
    </w:p>
    <w:p>
      <w:r>
        <w:t xml:space="preserve"> </w:t>
      </w:r>
    </w:p>
    <w:p>
      <w:pPr>
        <w:pStyle w:val="Heading2"/>
      </w:pPr>
      <w:r>
        <w:t>Risk Factors And Limitations</w:t>
      </w:r>
    </w:p>
    <w:p>
      <w:r>
        <w:t>Technical failure modes: AI components (chatbot, pricing model) may underperform in low-connectivity or low-resource languages, reducing usefulness. Data and evaluation biases: self-reported revenues and bookings may be inaccurate; platform logs may be unavailable or selectively shared. Small sample and site heterogeneity: results from 2–3 pilot sites may not generalize broadly. Scalability and compute limits: real-time AI features (chatbots) may need cloud compute and stable connectivity, limiting deployment in remote areas. Limits to causal inference: stepped-wedge and quasi-experimental designs reduce but do not eliminate confounding; subgroup analyses may be underpowered. Privacy and safety risks: increased visibility can create reputational or physical safety harms for participants. Legal/regulatory constraints: platform data sharing and cross-border data transfer may be restricted. Algorithmic audit limits: synthetic counterfactuals may not perfectly capture real-world biases. Ethical limits: co-designed indicators may not capture all cultural nuances, and participatory processes risk tokenism if not resourced properly.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