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thai_eldercare_gender_norms</w:t>
      </w:r>
    </w:p>
    <w:p>
      <w:r>
        <w:t xml:space="preserve"> </w:t>
      </w:r>
    </w:p>
    <w:p>
      <w:pPr>
        <w:pStyle w:val="Heading2"/>
      </w:pPr>
      <w:r>
        <w:t>Title</w:t>
      </w:r>
    </w:p>
    <w:p>
      <w:r>
        <w:t>Mixed-methods multilevel analysis of whether community gender norms about altruism affect unpaid elder care provision in Thailand</w:t>
      </w:r>
    </w:p>
    <w:p>
      <w:r>
        <w:t xml:space="preserve"> </w:t>
      </w:r>
    </w:p>
    <w:p>
      <w:pPr>
        <w:pStyle w:val="Heading2"/>
      </w:pPr>
      <w:r>
        <w:t>Short Hypothesis</w:t>
      </w:r>
    </w:p>
    <w:p>
      <w:r>
        <w:t>Stronger community-level norms that prescribe female altruism increase weekly unpaid elder-care hours provided by women relative to men, controlling for care need and availability.</w:t>
      </w:r>
    </w:p>
    <w:p>
      <w:r>
        <w:t xml:space="preserve"> </w:t>
      </w:r>
    </w:p>
    <w:p>
      <w:pPr>
        <w:pStyle w:val="Heading2"/>
      </w:pPr>
      <w:r>
        <w:t>Related Work</w:t>
      </w:r>
    </w:p>
    <w:p>
      <w:r>
        <w:t>Existing work uses three main approaches: (1) national time-use and household surveys that describe gender gaps in caregiving hours but rarely measure community-level norms; (2) qualitative and ethnographic studies that document cultural concepts (e.g., filial obligation, kreng jai) and show how norms shape expectations but offer limited generalizability; (3) small-scale experiments or vignette studies that test normative judgments but often lack linkage to real caregiving behavior. Limitations across these approaches include: (a) weak operationalization of social norms (few validated injunctive/descriptive scales); (b) limited attention to community-level (contextual) normative pressure versus individual attitudes; (c) scarce causal identification strategies—most quantitative work is descriptive or relies on weak instruments; (d) social-desirability and reflection bias when aggregating individual responses into community norms; and (e) insufficient integration of qualitative findings to validate survey measures and interpret heterogeneity across regions or ethnic groups. These gaps leave unresolved whether measured norms causally affect actual caregiver time and intensity.</w:t>
      </w:r>
    </w:p>
    <w:p>
      <w:r>
        <w:t xml:space="preserve"> </w:t>
      </w:r>
    </w:p>
    <w:p>
      <w:pPr>
        <w:pStyle w:val="Heading2"/>
      </w:pPr>
      <w:r>
        <w:t>Abstract</w:t>
      </w:r>
    </w:p>
    <w:p>
      <w:r>
        <w:t>This study tests whether community gender norms that valorize female altruism causally increase unpaid elder-care provision by women in Thailand. We combine nationally representative survey data (Thai Time Use Survey; Survey of Older Persons in Thailand), a new stratified multistage community survey (N ≈ 4,500 households across 150 communities), a randomized vignette experiment, and life-course qualitative interviews. At the community level we measure injunctive norms (what people think should be done) and descriptive norms (what people think others do) with validated scales and aggregated leave-one-out community means. Quantitatively, we estimate multilevel models (individuals nested in communities), mediation/moderation analysis, and causal specifications using instruments (regional female labor-market shocks, historical schooling gender gaps) and fixed effects where longitudinal data permit. The main contribution is a reproducible, pre-specified mixed-methods protocol that links validated normative measures to caregiving hours, task intensity, caregiver wellbeing, and labor-market outcomes. Expected outcomes are precise estimates of norm effects on care burdens, evidence on mediation by socioeconomic factors, and culturally grounded recommendations for gender-sensitive policy interventions.</w:t>
      </w:r>
    </w:p>
    <w:p>
      <w:r>
        <w:t xml:space="preserve"> </w:t>
      </w:r>
    </w:p>
    <w:p>
      <w:pPr>
        <w:pStyle w:val="Heading2"/>
      </w:pPr>
      <w:r>
        <w:t>Experiments</w:t>
      </w:r>
    </w:p>
    <w:p>
      <w:r>
        <w:t>Datasets: (1) Thai Time Use Survey (national cross-section time-use diaries); (2) Survey of Older Persons in Thailand (functional status, household composition); (3) New targeted multistage stratified survey: 150 clusters (communities) × 30 households ≈ 4,500 households, stratified by region (North, Northeast, Central, South) and urban/rural; pilot N=200 households; (4) Randomized vignette substudy embedded in the targeted survey (N≈1,800 respondents randomized). Qualitative: 60–80 life-course in-depth interviews and 8–12 focus groups across 4 regional sites. Baselines: (A) individual-level OLS/GLM with controls for care need, household composition, employment; (B) multilevel model without community norm measures (random intercept only); (C) multilevel model with personal gender-attitude measures only; (D) multilevel model with leave-one-out community-level injunctive and descriptive norm indices. Causal specifications: two-stage least squares (2SLS) using instruments (regional female labor-market shocks; historical female schooling gaps); individual fixed effects where panel data exist; difference-in-differences/event-study if staggered policies identified. Metrics: primary outcome — weekly unpaid elder-care hours (continuous); secondary outcomes — caregiving intensity index (ADL/IADL-weighted), probability of reduced labor market participation (binary), caregiver well-being score (continuous). Evaluation metrics: estimated coefficient (hours per unit norm index) with 95% CI and p-value; standardized effect size (Cohen's d) for continuous outcomes; odds ratios for binary outcomes; first-stage F-statistic for instruments; RMSE for predictive models; Cronbach's alpha and CFA fit indices (CFI, TLI, RMSEA) for norm scales. Experimental setup: (1) Estimate mixed-effects linear models (random intercepts for community) and cluster-robust SEs. (2) Run mediation analysis (causal mediation estimator) to quantify norm mediation of socioeconomic effects. (3) 2SLS with instrument diagnostics (report F&gt;10 threshold, Hansen J test if overidentified). (4) Vignette experiment: randomized gender and obligation cues; compare mean behavioral-intention scores and perceived social sanctions across arms using ANOVA and regression adjustment. Ablation studies: (i) omit community-level norm index to measure change in coefficient on gender; (ii) replace aggregated norms with personal attitudes to compare effect sizes; (iii) use leave-one-out versus raw community aggregates to assess reflection bias; (iv) test models using alternative outcome codings (logged hours, count models like negative binomial). Pre-analysis plan: pre-register primary hypotheses, main estimands, and robustness checks prior to analysis. Power and sampling: simulation-based power targeting detection of a small community-level effect (e.g., 0.2 SD) with ICC scenarios 0.01–0.05, yielding target 150 clusters × 30 households; report minimal detectable effect sizes from simulations in SAP.</w:t>
      </w:r>
    </w:p>
    <w:p>
      <w:r>
        <w:t xml:space="preserve"> </w:t>
      </w:r>
    </w:p>
    <w:p>
      <w:pPr>
        <w:pStyle w:val="Heading2"/>
      </w:pPr>
      <w:r>
        <w:t>Risk Factors And Limitations</w:t>
      </w:r>
    </w:p>
    <w:p>
      <w:r>
        <w:t>Measurement risks: social-desirability bias in self-reported norms and caregiving hours; reflection bias when aggregating individual responses to community-level norms. Validity risks: norm scales may not show measurement invariance across regions, genders, or ethnic groups. Identification risks: instruments (regional shocks, historical schooling gaps) may violate exclusion restrictions or be weak (first-stage F&lt;10). Data risks: incomplete or missing data on care recipient functional status or respondent employment; limited panel data to exploit fixed-effects. Sampling risks: nonresponse or differential attrition that biases community-level estimates. Analytical risks: unobserved confounding at household or community level causing biased effect estimates; mediation analysis relies on strong assumptions about no unmeasured mediator-outcome confounding. Generalization limits: findings may not transfer beyond Thai regions sampled or to countries with different kinship norms. Operational constraints: fieldwork complexity (language/dialect variation, access to remote communities), ethical concerns when surveying high-burden caregivers, and budget/time limits affecting cluster count. Scalability: multilevel models and IV methods require sufficient clusters for reliable community-level inference; compute is modest but simulation-based power analysis and multiple robustness checks increase analytic cost and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