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trade_agreements_sustainable_fisheries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Difference-in-differences with propensity-score matching to assess the effect of trade agreement fisheries provisions on marine mean trophic level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Signing a free trade agreement that contains fisheries-related provisions causes an increase in mean trophic level (MTL) of marine catches in the signatory's waters relative to matched control countries.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addresses links between trade policy and fisheries through three main strands: (1) descriptive analyses of trade agreements that catalogue environmental and fisheries provisions but do not estimate ecological effects; (2) trade-economics studies using gravity models (a model that explains trade flows by size and distance of partners) and event studies to estimate tariff and non-tariff measure (NTM) pass-through into trade volumes and unit values; and (3) bioeconomic models that translate price and effort changes into stock dynamics. Limitations: descriptive legal studies lack causal identification; gravity and event-study approaches often do not connect to ecological outcomes or account for fishing effort and IUU channels; bioeconomic models are rarely calibrated with empirically estimated trade pass-throughs; causal studies of ecological outcomes are scarce and suffer from endogeneity (policy choice correlated with unobserved stock trends), measurement problems (re-exports, transshipment, and deriving ex-vessel prices from unit values), sparse AIS/VMS coverage, and weak validation (few out-of-sample tests).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signing free trade agreements (FTAs) with fisheries-related provisions changes marine mean trophic level (MTL), an indicator of ecosystem-level fishing pressure (MTL is the average food-web position of caught species). We combine a global panel of MTL (1950–2018) with a text-mined dataset of environmental and fisheries provisions in trade agreements (1947–2018) and harmonized trade, landings, and vessel-activity data. Causal identification uses difference-in-differences (DID, a before-after comparison with controls) together with propensity-score matching (PSM, a method that pairs treated and similar control units) to reduce selection bias. We augment reduced-form estimates with gravity-model pass-throughs (to recover price signals) and AIS-derived effort indicators to interpret mechanisms. Main contribution: a reproducible, causal assessment linking trade-policy text to an ecological metric, producing negotiation-ready summary metrics (treatment effect on MTL with uncertainty) and validation diagnostics. Expected outcome: evidence on whether fisheries provisions in FTAs are associated with measurable changes in ecosystem-level fishing that inform negotiators and managers.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Sea Around Us global mean trophic level panel (1950–2018); RTA/trade agreement text dataset with fisheries/environment provisions (1947–2018); UN Comtrade and BACI trade flows; WITS/WTO tariff and NTM indicators; FAO FishStat landings; Global Fishing Watch AIS-derived effort and vessel activity; MSC certification and catch documentation registries; country covariates (GDP, fleet size, coastal population). Baselines: (A) simple DID without matching, (B) DID with covariate controls, (C) DID + propensity-score matching (main), (D) event-study specification, (E) synthetic control for selected pilot cases, (F) gravity PPML (Poisson pseudo-maximum likelihood) estimating tariff/NTM pass-through. Unit of analysis: country-EEZ-year (primary) and exporter-importer-species-year (for trade pass-through). Treatment: indicator for FTA entry year with explicit fisheries provisions. Propensity score: logistic regression using pre-treatment MTL trends, GDP per capita, fleet capacity, pre-treatment trade intensity, enforcement proxies; matching: nearest neighbor with caliper and replacement; DID: two-way fixed effects with country and year FE, cluster SE at country level. Event study: leads and lags up to ±10 years, pre-trend placebo windows. Gravity PPML: exporter-time and importer-time fixed effects, product-year FE, transport cost controls. Evaluation metrics: average treatment effect on MTL with 95% CI, pre-trend p-values, balance statistics (standardized mean differences) after matching, RMSE and bias for predictive parts, coverage of CIs via block bootstrapping, ROC/AUC for any classification (e.g., treated vs control match quality). Ablations/Comparisons: (1) DID vs DID+PSM (assess sensitivity to matching), (2) include vs exclude AIS-derived effort controls (test mechanism), (3) alternate MTL aggregation (global vs landed-weighted MTL), (4) synthetic control for 1-3 pilot countries to compare estimated trajectories, (5) instrumented gravity pass-through vs reduced-form pass-through (test sensitivity to instruments). Validation: placebo treatments on pseudo-FTAs, out-of-sample hindcast RMSE comparison for pilot cases.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error: MTL is an aggregate that depends on species composition and reconstructed catches; errors in landings or species mapping can bias results. Policy coding: text-mining may misclassify fisheries provisions or their strength. Endogeneity: countries that sign FTAs may have prior unobserved trends in fisheries, violating the DID parallel-trends assumption. Matching limitations: poor overlap between treated and control units can produce imbalance and low external validity. Trade data issues: re-exports and transshipment can misattribute origin; deriving ex-vessel prices from unit values can be noisy. AIS coverage: limited for small-scale fleets and some regions, biasing effort measures toward industrial fleets. IUU modeling: detection probability and sanction effectiveness are poorly observed and require strong assumptions. Statistical power: few treated events for specific provision types reduce power to detect effects. Computational/scalability: Bayesian calibration of linked bioeconomic models is compute-intensive. Legal/data access: vessel registries and detailed customs records may be restricted, limiting reproducibility. Generalization: results may not transfer to data-poor regions, different species, or non-FTA policy instruments.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