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shrinkflation_japan_cpi_bias</w:t>
      </w:r>
    </w:p>
    <w:p>
      <w:r>
        <w:t xml:space="preserve"> </w:t>
      </w:r>
    </w:p>
    <w:p>
      <w:pPr>
        <w:pStyle w:val="Heading2"/>
      </w:pPr>
      <w:r>
        <w:t>Title</w:t>
      </w:r>
    </w:p>
    <w:p>
      <w:r>
        <w:t>Estimating shrinkflation-induced bias in Japan's CPI using product-level unit-price measurement, quasi-experimental estimators, and a micro-founded macro model</w:t>
      </w:r>
    </w:p>
    <w:p>
      <w:r>
        <w:t xml:space="preserve"> </w:t>
      </w:r>
    </w:p>
    <w:p>
      <w:pPr>
        <w:pStyle w:val="Heading2"/>
      </w:pPr>
      <w:r>
        <w:t>Short Hypothesis</w:t>
      </w:r>
    </w:p>
    <w:p>
      <w:r>
        <w:t>When firms reduce package quantity while keeping posted package prices constant or higher, measured headline CPI overstates true price inflation (quantity-adjusted CPI) and lowers measured real household income in Japan.</w:t>
      </w:r>
    </w:p>
    <w:p>
      <w:r>
        <w:t xml:space="preserve"> </w:t>
      </w:r>
    </w:p>
    <w:p>
      <w:pPr>
        <w:pStyle w:val="Heading2"/>
      </w:pPr>
      <w:r>
        <w:t>Related Work</w:t>
      </w:r>
    </w:p>
    <w:p>
      <w:r>
        <w:t>Existing approaches to measure hidden inflation use (1) scanner and point-of-sale data to compute unit values (price per gram/ml/serving), (2) hedonic regressions to adjust prices for observable quality attributes, and (3) macro time-series methods (SVARs) and DSGE models to link micro price wedges to aggregate inflation and welfare. Quasi-experimental methods (difference-in-differences and event studies) have been used to identify firm responses to cost shocks. Limitations: many studies lack automated extraction of net-quantity from packaging (so quantity changes are under-observed), hedonic adjustments can miss unobserved quality changes, staggered DiD estimators suffer bias under heterogeneous timing if not corrected, instruments (commodity or FX shocks) are sometimes weak or invalid because they correlate with aggregate demand, and macro models rarely incorporate endogenous firm packaging choices or measurement wedges. Cross-border regulatory and labeling differences are insufficiently integrated, making international comparisons noisy and potentially biased.</w:t>
      </w:r>
    </w:p>
    <w:p>
      <w:r>
        <w:t xml:space="preserve"> </w:t>
      </w:r>
    </w:p>
    <w:p>
      <w:pPr>
        <w:pStyle w:val="Heading2"/>
      </w:pPr>
      <w:r>
        <w:t>Abstract</w:t>
      </w:r>
    </w:p>
    <w:p>
      <w:r>
        <w:t>This project quantifies how shrinkflation — reductions in product quantity or quality while posted package prices remain stable or rise — biases Japan’s headline CPI, alters measured real incomes, and responds to macro shocks. We build a reproducible pipeline that extracts net-content from packaging (OCR+NLP), links SKUs across retailers, computes unit-price series, and flags shrinkflation events. Empirically we identify causal drivers using pre-registered quasi-experimental estimators (staggered difference-in-differences with modern corrections and IVs based on commodity and FX surprises and retailer rollouts) and produce a monthly shrinkflation-bias series. We then trace drivers with SVARs and embed the measurement wedge in a micro-founded DSGE where firms choose price versus quantity under menu and packaging costs. Main contributions: a validated measurement pipeline for quantity-adjusted CPI, causal estimates of shrinkflation drivers in Japan, and policy counterfactuals (monetary targeting and disclosure rules) evaluated for welfare and distributional effects. Expected impact: clearer inflation measurement, evidence-based policy options for consumer protection and central bank decision-making.</w:t>
      </w:r>
    </w:p>
    <w:p>
      <w:r>
        <w:t xml:space="preserve"> </w:t>
      </w:r>
    </w:p>
    <w:p>
      <w:pPr>
        <w:pStyle w:val="Heading2"/>
      </w:pPr>
      <w:r>
        <w:t>Experiments</w:t>
      </w:r>
    </w:p>
    <w:p>
      <w:r>
        <w:t>Datasets: retailer scanner/POS data (SKU×store×date×posted_price), online retailer listings and packaging images, METI/Nikkei product catalogs, CPI item microdata, Household Expenditure Survey (HES) for weights, import price indices by HS code, BOJ inflation-expectation surveys, and firm reports. Preprocessing: OCR+NLP extracts net-content, unit tokens, and pack-count; GTIN/JAN anchoring with fuzzy matching; manual audits for top-500 revenue SKUs. Detection rule: primary binary shrinkflation event = net_content decline &gt;=5% within a 3-month window with posted package price change &gt;=0%; continuous metric = percent change in unit price (price/net_content). Baselines: (A) headline CPI (official posted-package CPI), (B) unit-value CPI (price per 100g/ml without hedonic adjustment), (C) hedonic-adjusted CPI (quality attributes controlled). Estimators: primary = Callaway &amp; Sant’Anna group-time ATT (handles staggered timing); robustness = Sun &amp; Abraham event-study and de Chaisemartin &amp; D’Haultfoeuille alternative for dynamic selection; IV strategy = commodity-price surprises (sugar, oils, cocoa) weighted by product exposure, JPY/USD high-frequency surprises orthogonalized to domestic demand, and staggered retailer rollout timing. Pre-specified diagnostics: pre-trend Wald tests (window −12 to +12 months), Goodman–Bacon 2×2 decomposition with weight reporting, first-stage F-stat (&gt;10 threshold), Kleibergen–Paap and Hansen J tests, permutation/placebo tests, and ROC (true/false positive rates) on audit sample. Measurement validation: pilot audit n=500 stratified SKUs (strata by category, brand-size, retailer) to estimate OCR precision/recall; SIMEX and classical errors-in-variables (EIV) corrections applied; ablation injects OCR error noise to test robustness. Macro linkage: construct monthly shrinkflation-bias series = headline CPI − quantity-adjusted CPI; run SVAR with variables [shrinkflation_bias, headline_CPI, adjusted_CPI, output_gap, wages, import_prices, markups] to trace shocks. DSGE calibration: calibrate packaging/menu-cost parameters to micro moments (shrinkflation frequency, magnitude, pass-through elasticities, markup dynamics) and fit to both headline and adjusted CPI; report confidence sets for policy counterfactuals (monetary rules targeting headline vs adjusted CPI, mandatory unit-price labeling). Evaluation metrics: CPI bias (mean and percent bias), MAE/RMSE between adjusted and headline series, ATT estimates with CIs, detection ROC/AUC, first-stage partial R2, bootstrap clustered CIs, consumption-equivalent variation (welfare) by income decile. Ablations: threshold sensitivity (3%,5%,7%), estimator choice (CSA vs SA vs dCH), quality-index method (hedonic vs IRT), remove IVs or use LIML under weak-IVs, and exclude private-label channel. Reproducibility: preregistered specifications, code repository, synthetic data sample if proprietary data restricted.</w:t>
      </w:r>
    </w:p>
    <w:p>
      <w:r>
        <w:t xml:space="preserve"> </w:t>
      </w:r>
    </w:p>
    <w:p>
      <w:pPr>
        <w:pStyle w:val="Heading2"/>
      </w:pPr>
      <w:r>
        <w:t>Risk Factors And Limitations</w:t>
      </w:r>
    </w:p>
    <w:p>
      <w:r>
        <w:t>Data access and coverage: proprietary scanner data or packaging images may be restricted, limiting SKU coverage and representativeness. OCR/NLP bias: OCR errors can be systematic (tiny fonts, vertical text, nonstandard layouts, mixed languages), producing non-classical measurement error that violates classical EIV assumptions. SKU linking errors: mismatches across retailers or countries can mis-attribute quantity changes. Endogeneity of IVs: commodity or FX shocks may correlate with unobserved demand shocks, weakening exogeneity and biasing IV estimates. Staggered DiD bias: dynamic selection and anticipation effects can invalidate simple staggered estimators if corrections fail. Generalization: results calibrated to Japan (convenience-store dominance, private-label structure) may not transfer to other countries without adjustment. DSGE complexity: identification of packaging-cost parameters from moments may be weak, producing wide uncertainty in policy counterfactuals. Legal/privacy constraints: limits on sharing microdata reduce reproducibility; synthetic data may not capture all real-data quirks. Computational scale: processing image+scanner data at national scale requires substantial compute and storage, which may be constrained.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