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Decomposing causal effects of demographic ageing and household type on income inequality in Central and Eastern Europe using decomposition methods, quasi-experimental estimators, and microsimulation</w:t>
      </w:r>
    </w:p>
    <w:p>
      <w:r>
        <w:t xml:space="preserve"> </w:t>
      </w:r>
    </w:p>
    <w:p>
      <w:pPr>
        <w:pStyle w:val="Heading2"/>
      </w:pPr>
      <w:r>
        <w:t>Short Hypothesis</w:t>
      </w:r>
    </w:p>
    <w:p>
      <w:r>
        <w:t>An increasing share of single-person households aged 65+ causes a measurable rise in household-level income inequality (Gini) in Central and Eastern European countries between 2005 and 2022, conditional on country pension parameters.</w:t>
      </w:r>
    </w:p>
    <w:p>
      <w:r>
        <w:t xml:space="preserve"> </w:t>
      </w:r>
    </w:p>
    <w:p>
      <w:pPr>
        <w:pStyle w:val="Heading2"/>
      </w:pPr>
      <w:r>
        <w:t>Related Work</w:t>
      </w:r>
    </w:p>
    <w:p>
      <w:r>
        <w:t>Existing work measures income inequality by age or household type using standard inequality indices (Gini, Theil) and decomposition methods (e.g., between/within decompositions). Recent causal studies on pension reforms use difference-in-differences (DiD), event-study frameworks, and regression discontinuity (RD) around eligibility ages; migration and remittance effects are often studied with instrumental variables (IV). Microsimulation studies evaluate pension policy counterfactuals but typically assume fixed household structures. Limitations: many studies treat individuals or households in isolation and do not jointly decompose ageing and household-composition effects; causal designs often suffer from staggered-treatment bias or weak instruments; harmonization gaps across EU-SILC/SHARE reduce comparability; intra-household resource allocation and remittance channels remain under-explored; synthetic-data and reproducibility practices are uneven or missing.</w:t>
      </w:r>
    </w:p>
    <w:p>
      <w:r>
        <w:t xml:space="preserve"> </w:t>
      </w:r>
    </w:p>
    <w:p>
      <w:pPr>
        <w:pStyle w:val="Heading2"/>
      </w:pPr>
      <w:r>
        <w:t>Abstract</w:t>
      </w:r>
    </w:p>
    <w:p>
      <w:r>
        <w:t>This study quantifies how demographic ageing and changes in household composition drive income inequality by age and household type in Central and Eastern Europe (CEE) between 2005 and 2022. We combine decomposition methods, quasi-experimental causal estimators, and microsimulation to separate compositional effects (more older people, more single older households, more multigenerational homes) from institutional mediation (pension design, remittances). Decomposition (Shapley value and between/within measures) will allocate changes in Gini/Theil to age and household-type shifts. Causal inference uses regression discontinuity at pension-eligibility cutoffs, staggered DiD with modern estimators, and IVs leveraging historical migration networks; microsimulation will produce policy counterfactuals (minimum pensions, indexation rules). Main contributions: (1) a reproducible harmonized microdata pipeline for EU-SILC/SHARE/HBS, (2) a pre-registered decision-rule matrix linking power simulations to country inclusion, and (3) integrated empirical estimates of how household types and pension features jointly affect inequality. Expected outcome: clear, policy-relevant attribution of inequality trends to demographic and institutional drivers.</w:t>
      </w:r>
    </w:p>
    <w:p>
      <w:r>
        <w:t xml:space="preserve"> </w:t>
      </w:r>
    </w:p>
    <w:p>
      <w:pPr>
        <w:pStyle w:val="Heading2"/>
      </w:pPr>
      <w:r>
        <w:t>Experiments</w:t>
      </w:r>
    </w:p>
    <w:p>
      <w:r>
        <w:t>Datasets: harmonized EU-SILC microdata 2005–2022 (primary), SHARE waves overlapping the period, national Household Budget Surveys (HBS) where available, and administrative pension parameter series (codebook). Income measure: equivalised disposable income (OECD-modified scale) in constant PPP euros. Baselines: (A) trend analysis of Gini and Theil by age groups; (B) TWFE DiD (classic two-way fixed effects); (C) static microsimulation with no household reallocation. Proposed methods: Shapley decomposition (attributes change to factors; simple: splits change fairly among drivers), Oaxaca-Blinder decomposition, Callaway &amp; Sant’Anna staggered DiD (ATT = average treatment effect on treated; simple: compares treated cohorts to controls), Sun &amp; Abraham event-study, CCT RD (Calonico-Cattaneo-Titiunik bandwidth selector) at eligibility cutoffs, IV using historical regional emigration shares (instrument = past emigration rate). Evaluation metrics: change in Gini and Theil (absolute and percent), decomposition shares (% of change attributed to age vs household type), ATT estimates with robust CIs, RD local average treatment effects (LATE), first-stage F-statistics for IV (&gt;10 target), microsimulator calibration RMSE against administrative aggregates (pension expenditure, beneficiary counts), coverage of bootstrap/CIs, and MDE (minimum detectable effect) from Monte Carlo power sims. Experimental setup: primary contrasts compare 2005 vs 2022 cross-sections and dynamic event windows [-2,+2] years; cluster standard errors at PSU or region (pre-registered clustering rule) and use wild-cluster bootstrap when clusters &lt;20. Ablations: (1) full model vs omit household-type decomposition (tests importance of household structure), (2) include vs exclude remittances, (3) Shapley vs Oaxaca-Blinder decompositions, (4) microsimulation with behavioral elasticities estimated vs assumed. Reporting: per-country and pooled results, pre-specified decision rules for excluding underpowered countries (if MDE &gt; 0.2 SD for ATT then use descriptive only), and standard robustness plots (event-study grids, weight distributions, placebo heatmaps).</w:t>
      </w:r>
    </w:p>
    <w:p>
      <w:r>
        <w:t xml:space="preserve"> </w:t>
      </w:r>
    </w:p>
    <w:p>
      <w:pPr>
        <w:pStyle w:val="Heading2"/>
      </w:pPr>
      <w:r>
        <w:t>Risk Factors And Limitations</w:t>
      </w:r>
    </w:p>
    <w:p>
      <w:r>
        <w:t>Data quality risks: inconsistent remittance flags, missing pension identifiers, top-coded incomes, and panel gaps across countries can bias decompositions and causal estimates. Causal identification risks: staggered DiD may produce biased TWFE estimates if treatment effects are heterogeneous; RD requires precise birth-date recording and sufficient observations near cutoffs; IVs risk violating the exclusion restriction if historical migration correlates with unobserved regional trends. Statistical risks: small numbers of clusters reduce reliable inference; weak first-stage instruments lower identification. Measurement risks: equivalisation choices and top-code handling affect inequality measures (sensitive tail behavior). Microsimulation limits: behavioral elasticities may be unidentifiable in microdata and dynamic extensions are computationally heavier. Generalization limits: results reflect included CEE countries and chosen periods; cross-country institutional heterogeneity limits simple pooling. Ethical/privacy limits: microdata access constraints may restrict public replication; synthetic data may reduce utility for some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