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organic_fieldday_innov_acceptance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Survey-based stratified intercept sampling and bias-corrected multilevel analysis of stakeholder acceptance and adoption potential of innovations in organic farming in Germany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Exposure to a field-day demonstration causally increases a farmer's probability of adopting the demonstrated innovation within 12 months.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studies on innovation adoption in agriculture use stratified sampling, registry linkage, and multilevel models to estimate adoption patterns. Common approaches include convenience or single-event surveys, post-stratification weighting, and cross-sectional regressions. Limitations in prior work are: reliance on self-selected attendees without an external registry-based calibration sample; limited validation of self-reported adoption against in-field or administrative data; weak or absent correction for measurement error; few studies using causal identification (instrumental variables or difference-in-differences) tailored to event exposure; and scarce implementation of reproducible pipelines and pre-registered analysis plans. These gaps reduce confidence in external validity and causal claims about demonstration effects.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study whether demonstrations at organic farming field days increase stakeholder acceptance and short-term adoption of on-farm innovations. We use a stratified intercept survey of attendees across multiple regional field days combined with a stratified registry sample of certified organic farms for calibration. Analyses apply propensity-score calibrated weights and multilevel (hierarchical) regression to estimate adoption probabilities while accounting for clustering by event and region. A validation subsample with farm visits and administrative linkage will quantify measurement error and enable regression-calibration or SIMEX (a simulation-extrapolation method to correct measurement error). We pre-register primary and secondary outcomes and produce a reproducible code pipeline. The main contribution is an operational, bias-corrected estimate of demonstration effects on adoption that links survey reports to verified farm-level outcomes and provides transparent uncertainty estimates for policy and demonstration design.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Intercept survey: n=800 completed interviews across &gt;=8 field-day events, stratified by Bundesland × farm type (crop, livestock, mixed) × farm-size bands; baseline interview includes demo exposure, adoption stage, covariates. (2) Registry sample: n=250 stratified random draws from organic certification lists for non-attendee comparison. (3) Validation subsample: n=100 farm visits / admin linkages for in-field verification and lab soil measures. Baselines: (A) naive unweighted prevalence estimates; (B) raked post-stratified estimates; (C) multilevel logistic regression without calibration. Evaluation metrics: binary adoption rate, average treatment effect (ATE) of demo exposure with 95% CI, bias (difference vs registry-calibrated estimate), sensitivity and specificity and Cohen's kappa for self-report vs validation, RMSE for continuous agronomic indicators, minimum detectable effect (MDE) for subgroups. Experimental setup: primary outcome = adoption (binary) within 12 months; covariates = region, farm size, production type, farmer age, education, risk attitude scale, baseline adoption, demo attendance indicator. Estimators and tests: (1) propensity-score calibrated weighted multilevel logistic regression (multilevel = random intercepts by event and region; propensity score = probability of attendance estimated from registry covariates); (2) instrumental-variable (IV) specification using randomized invitation timing or distance to prior demo as instrument (report first-stage F and partial R2); (3) difference-in-differences if registry panel exists; (4) measurement-error correction ablation: compare raw, regression calibration, and SIMEX-adjusted estimates. Ablation studies: remove weighting, remove validation correction, and replace propensity-score calibration with pure raking to quantify bias change. Inference: cluster-robust SEs by event, bootstrap replicate weights for variance, and multiple-comparison control using false discovery rate (Benjamini-Hochberg) for secondary outcomes. Pre-analysis: register primary outcome, primary estimand (ATE), exact covariates, subgroup analyses, and multiple-comparison rules prior to analysis.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Selection bias: attendees differ from non-attendees in unobserved ways that may not be fully adjusted. Measurement error: self-reported adoption can be misclassified and the validation subsample may be too small to correct estimates precisely. Instrument weakness: invitation timing or distance may be weak instruments (low first-stage), invalidating IV estimates. Nonresponse and missing data: follow-up attrition or item nonresponse may be not missing at random (MNAR). External validity: results primarily generalize to farms covered by the registry and to the studied regions and events. Clustered design: high intra-cluster correlation (ICC) will reduce effective sample size and subgroup power. Costs and logistics: field visits, lab analyses, and secure registry linkage may exceed budget or face GDPR constraints. Computational limits: bootstrap and SIMEX with complex multilevel models may be computationally intensive. Temporal change: adoption measured at 12 months may miss longer-term adoption dynamics.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