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e_waste_dismantling_daily_cf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Field-based daily carbon footprint accounting of e-waste dismantling in China by matching facility electricity consumption to daily dismantling volumes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Linking daily facility electricity consumption to daily dismantling volumes for five e-waste categories reduces the RMSE of estimated CO2e per tonne by at least 20% versus using provincial-average electricity factors.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e-waste carbon accounting use life-cycle assessment (LCA) and material-flow methods with two broad strategies: top-down inventories that apply regional average emission factors, and bottom-up studies that sample facility operations or use case studies. Recent innovations include bottom-up dismantling inventories, unsupervised learning for flow-clustering, and targeted measurement of informal practices (open burning, acid baths). Limitations: many studies use coarse temporal aggregation (monthly or yearly averages) that miss daily variation; few studies pair measured electricity use to batch-level dismantling volumes; informal-emissions are often unmeasured or bounded by proxies; marginal emission factors for Chinese metal production and provincial grid dispatch are under-developed; allocation rules and recycling-credit methods vary and are not consistently reported; uncertainty quantification is often limited or lacking reproducible Monte Carlo seeds and mapping files. These gaps produce biased or wide confidence intervals for dismantling-stage carbon footprints.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 field-based method to produce a high-resolution carbon inventory for e-waste dismantling in China by directly matching daily electricity consumption of key energy-using facilities to daily dismantling volumes for five e-waste categories. The method combines sub-metering, batch-level mass flows, portable pollutant monitoring for informal processes, and province-resolved short-run marginal grid emission factors to attribute CO2-equivalent (CO2e) emissions at daily and per-tonne resolution. Main contributions are (1) a reproducible field protocol and LCI mapping that links measured electricity kWh to dismantling throughput, (2) tracer/plume and PM co-sampling protocols to quantify informal leakage emissions, and (3) an uncertainty pipeline with Monte Carlo and documented seeds for reproducibility. Expected outcomes are a daily-resolved, transparent carbon inventory that reduces estimation error versus average-factor methods, quantifies the contribution of informal leakage to total CO2e, and provides open LCI exports for policy scenario testing.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Pilot: 2 formal and 1 informal site, &gt;=30 batches/site (batch = continuous dismantling run). Scale: stratified sampling across 6 provinces × 3 facility types × 2 seasons = 36 strata; target 60 batches/stratum → total ~2,160 batches. E-waste categories: smartphones, CRT monitors, LCD/LED TVs, refrigerators, washing machines. Measurements per batch: input mass (kg), output fractions (kg), sub-metered electricity (kWh, 1-min resolution where possible), diesel/generator fuel (L), time stamps, informal-emission plume samples. Baselines: (A) provincial-average electricity-factor method (monthly average); (B) daily electricity matched but using average grid factor; (C) full method (daily electricity + short-run marginal factors + informal emissions). Metrics: RMSE and MAE of CO2e per tonne at facility-day level, R2 (variance explained), mean bias, MAPE, width of 95% uncertainty interval, power to detect 20% change (80% target). Monte Carlo: 10,000 iterations, fixed random seed, distributions: lognormal for recovery rates, normal/truncated-normal for energy use, triangular for distances. Statistical tests: paired comparisons of RMSE (full method vs baselines) using bootstrap CIs; sample-size power check for 20% effect with assumed CVs. Ablation studies: (1) remove sub-metering (use duty-cycle proxy); (2) exclude informal-emission measurements; (3) economic vs mass allocation; (4) system expansion vs cut-off for recycling credits. Flux-model comparison: run Gaussian plume + Turner corrections, FLEXPART, and ParticleTracker on 50 controlled tracer releases; report flux error against known release. Outputs: per-site daily CO2e files, mapping CSV to ecoinvent/CLCD IDs, SimaPro/OCL export, and reproducible Monte Carlo code with seed and convergence diagnostics.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Access and selection bias: informal sites may be inaccessible or refuse participation, producing non-representative samples. Instrument failure and maintenance: sub-meters, FTIR/NDIR, and gravimetric samplers can fail or drift, causing data gaps. Meteorology sensitivity: tracer/plume fluxes depend on wind stability; some releases will be invalid under unstable conditions. Incomplete coverage of non-CO2 GHGs and toxics: measurement suite may not capture all greenhouse gases or chemical species, limiting completeness. Marginal factor uncertainty: deriving hourly provincial marginal emission factors requires dispatch data; if unavailable, fallback averages reduce precision. Clustered variability: high intra-class correlation (ICC) increases required sample sizes and may make some strata underpowered. Ethical and safety constraints: worker exposure monitoring and tracer releases need permits and consent and may limit experiments. Computational limits: large Monte Carlo runs with correlated parameters require computing resources and careful convergence checks. Generalization: results calibrated on selected provinces and five device classes may not fully generalize to all regions or device types.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