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purpose_to_renewal_causal_test</w:t>
      </w:r>
    </w:p>
    <w:p>
      <w:r>
        <w:t xml:space="preserve"> </w:t>
      </w:r>
    </w:p>
    <w:p>
      <w:pPr>
        <w:pStyle w:val="Heading2"/>
      </w:pPr>
      <w:r>
        <w:t>Title</w:t>
      </w:r>
    </w:p>
    <w:p>
      <w:r>
        <w:t>Causal assessment using staggered difference-in-differences, instrumental variables, and randomized vignettes of how operationalized corporate purpose affects firm strategic renewal</w:t>
      </w:r>
    </w:p>
    <w:p>
      <w:r>
        <w:t xml:space="preserve"> </w:t>
      </w:r>
    </w:p>
    <w:p>
      <w:pPr>
        <w:pStyle w:val="Heading2"/>
      </w:pPr>
      <w:r>
        <w:t>Short Hypothesis</w:t>
      </w:r>
    </w:p>
    <w:p>
      <w:r>
        <w:t>Operationalizing corporate purpose via formal governance mechanisms causes an increase in a firm's strategic renewal rate (measured by new-domain entries, normalized patenting, or new-product revenue share) within three years compared to firms that do not operationalize purpose.</w:t>
      </w:r>
    </w:p>
    <w:p>
      <w:r>
        <w:t xml:space="preserve"> </w:t>
      </w:r>
    </w:p>
    <w:p>
      <w:pPr>
        <w:pStyle w:val="Heading2"/>
      </w:pPr>
      <w:r>
        <w:t>Related Work</w:t>
      </w:r>
    </w:p>
    <w:p>
      <w:r>
        <w:t>Prior work links corporate purpose to financial outcomes and employee behaviors and proposes mechanisms such as identity alignment, resource allocation, and stakeholder legitimacy. Most studies are qualitative or cross-sectional, limiting causal claims. Measurement of purpose is often uni-dimensional, conflated with CSR or mission statements, and lacks validated multi-item scales. Empirical work rarely combines robust causal methods (e.g., staggered DiD, IV, RDD) with multi-source archival indicators of renewal, and few studies examine governance heterogeneity or provide pre-registered analysis protocols. Experimental tests of micro-level mechanisms (manager risk-taking, stakeholder collaboration) are sparse. These gaps produce unresolved issues: unclear causal direction, measurement ambiguity, weak instrument credibility, limited temporal tracing of mechanisms, and restricted external validity across industries, ownership types, and countries.</w:t>
      </w:r>
    </w:p>
    <w:p>
      <w:r>
        <w:t xml:space="preserve"> </w:t>
      </w:r>
    </w:p>
    <w:p>
      <w:pPr>
        <w:pStyle w:val="Heading2"/>
      </w:pPr>
      <w:r>
        <w:t>Abstract</w:t>
      </w:r>
    </w:p>
    <w:p>
      <w:r>
        <w:t>This study evaluates whether and how operationalized corporate purpose drives firm strategic renewal. We address measurement and causal gaps by (1) developing and validating a three-dimension purpose scale (aspirational, normative, operationalized), and (2) estimating causal effects of purpose operationalization on renewal using quasi-experimental and experimental designs. Empirically, we combine staggered difference-in-differences (for regulatory or reporting shocks), instrumental-variables analyses (founder exit or board turnover as instruments), regression discontinuity where thresholds exist, and randomized vignette experiments with managers to test micro mechanisms. The main contributions are: a validated, multi-level measurement instrument for corporate purpose; pre-registered causal estimates of purpose → renewal; and mapped mechanisms (dynamic capabilities, identity alignment, stakeholder co-creation) with boundary conditions (ownership, industry dynamism). Expected outcomes include clear causal effect sizes, assessment of mediating pathways, and reproducible data and code artifacts to advance theory and provide managerial metrics for purpose-driven renewal.</w:t>
      </w:r>
    </w:p>
    <w:p>
      <w:r>
        <w:t xml:space="preserve"> </w:t>
      </w:r>
    </w:p>
    <w:p>
      <w:pPr>
        <w:pStyle w:val="Heading2"/>
      </w:pPr>
      <w:r>
        <w:t>Experiments</w:t>
      </w:r>
    </w:p>
    <w:p>
      <w:r>
        <w:t>Datasets: Compustat/Orbis (firm financials), BoardEx (governance), PATSTAT and USPTO (patents), Crunchbase/SDC (new-business filings, M&amp;A), Compustat segment R&amp;D (R&amp;D reallocation), Glassdoor/employee panels (survey responses), firm annual reports and incentive disclosures (NLP pay-for-purpose coding). Sample: medium-to-large firms across industries, 2005–2025 panel; target N firms = 150–300 for archival causal analyses; manager survey/vignette sample = 800 respondents across 150 firms. Baselines: naive OLS, TWFE DiD, and panel FE without staggered-corrections. Primary causal estimators: Callaway &amp; Sant’Anna staggered DiD (cohort ATT), Sun &amp; Abraham event-study corrections, 2SLS IV (first stage: instrument → purpose; second stage: predicted purpose → renewal), RDD local linear with Calonico et al. bias-corrected CIs, multilevel structural equation modeling (SEM) for mediation, and randomized vignette treatment effects (ATE). Measurement validation: EFA (n≥200) then CFA (n≥300) with split-sample cross-validation; report loadings, AVE, CR, HTMT, ICC(1)/ICC(2), and rwg. Evaluation metrics: ATT and 95% CI, first-stage F (&gt;10 threshold), Kleibergen-Paap rk statistic, Hansen J p-value, Cox hazard ratios for time-to-renewal, normalized patent counts (per million USD revenue and per R&amp;D dollar), new-domain entry rate (% of firms entering new SIC/NACE codes), effect sizes (Cohen’s d), indirect mediation effect sizes and bootstrap CIs, and p-values with Benjamini–Hochberg FDR control. Experimental setup: pre-register analysis; staggered DiD event-study with 5 leads and 8 lags, cluster SEs at firm level (two-way if needed), wild-cluster bootstrap if clusters &lt;50, IV diagnostics (first-stage F, partial R2, Anderson–Rubin), RDD bandwidth grid and seeds pre-specified, Monte Carlo power simulations (1,000 replications) varying N firms {100,150,250}, respondents/firm {3,4,6}, ICCs {0.05,0.10,0.20}, effect sizes {d=0.10,0.30}, and attrition {0%,15%,30%}. Ablations/Comparisons: (A) uni-dimensional purpose vs three-dimension scale, (B) with vs without governance alignment variable (pay-for-purpose), (C) archival-only vs archival+survey models, (D) SEM mediation vs reduced-form direct effects. NLP classifier: train on hand-labeled n=200 incentive disclosures for pay-for-purpose detection, report Cohen’s kappa. Pre-specified thresholds: first-stage F&gt;10, HTMT&lt;0.85, CFA fit CFI/TLI≥0.95 RMSEA≤0.06 SRMR≤0.08, ICC(1)&gt;0.05 ICC(2)&gt;0.60 rwg&gt;0.70. Reproducibility: publish pre-registration, code, and synthetic data when raw data cannot be shared.</w:t>
      </w:r>
    </w:p>
    <w:p>
      <w:r>
        <w:t xml:space="preserve"> </w:t>
      </w:r>
    </w:p>
    <w:p>
      <w:pPr>
        <w:pStyle w:val="Heading2"/>
      </w:pPr>
      <w:r>
        <w:t>Risk Factors And Limitations</w:t>
      </w:r>
    </w:p>
    <w:p>
      <w:r>
        <w:t>Confounding and violation of exclusion restrictions for IVs: founder exits or board turnover may correlate with unobserved shocks that also affect renewal. DiD parallel-trend failures or anticipation effects can bias ATT estimates. RDD yields local estimates that may not generalize beyond the cutoff. Measurement error in purpose survey responses (social desirability and common-method bias) can attenuate effects; aggregation to firm-level may fail if ICC thresholds are low. Instrument weakness reduces precision (large standard errors) and may produce biased IV LATEs if compliers are unrepresentative. Missing data or limited access to governance/incentive disclosures (GDPR or confidentiality) can reduce sample size and external validity. Outcome proxies (patents, M&amp;A) may imperfectly capture strategic renewal in service firms. Monte Carlo power depends on realistic ICC and attrition assumptions; underpowered IV tests are likely. Computational limits for large bibliometric and patent datasets may increase processing time. Heterogeneity: effects may vary by industry, ownership, and country, limiting broad generalization.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