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postarthro_dvt_motivation</w:t>
      </w:r>
    </w:p>
    <w:p>
      <w:r>
        <w:t xml:space="preserve"> </w:t>
      </w:r>
    </w:p>
    <w:p>
      <w:pPr>
        <w:pStyle w:val="Heading2"/>
      </w:pPr>
      <w:r>
        <w:t>Title</w:t>
      </w:r>
    </w:p>
    <w:p>
      <w:r>
        <w:t>Development and validation of a protection-motivation-theory-based scale to predict postdischarge anticoagulant adherence in hip and knee arthroplasty patients</w:t>
      </w:r>
    </w:p>
    <w:p>
      <w:r>
        <w:t xml:space="preserve"> </w:t>
      </w:r>
    </w:p>
    <w:p>
      <w:pPr>
        <w:pStyle w:val="Heading2"/>
      </w:pPr>
      <w:r>
        <w:t>Short Hypothesis</w:t>
      </w:r>
    </w:p>
    <w:p>
      <w:r>
        <w:t>Higher scores on a protection-motivation-theory-based motivation scale causally increase adherence to prescribed postdischarge DVT prophylaxis, with each standard deviation increase in scale score associated with at least a 1.5-fold higher odds of achieving ≥80% dose coverage over the first 14 days.</w:t>
      </w:r>
    </w:p>
    <w:p>
      <w:r>
        <w:t xml:space="preserve"> </w:t>
      </w:r>
    </w:p>
    <w:p>
      <w:pPr>
        <w:pStyle w:val="Heading2"/>
      </w:pPr>
      <w:r>
        <w:t>Related Work</w:t>
      </w:r>
    </w:p>
    <w:p>
      <w:r>
        <w:t>Existing work includes theory-based and generic medication-adherence instruments, short self-efficacy and beliefs-about-medicines measures, and prior condition-specific surveys. Common approaches: classical test theory (factor analysis, Cronbach’s alpha) for scale construction, item response theory (IRT) for item calibration, and predictive modeling linking psychosocial scores to adherence. Limitations: many instruments are not specific to post-arthroplasty anticoagulation (they omit injection barriers, bleeding concerns, and provider-communication items); sample sizes are often small and single-site; few studies perform comprehensive IRT calibration, differential item functioning (DIF) testing, or provide summed-score → latent-trait crosswalks; predictive validity is under-tested with objective adherence measures (electronic monitoring) and clustered multi-site designs; implementation-ready thresholds and clinician-workflow evaluations are scarce. Technical term notes: IRT is a method that models how item responses relate to an underlying trait (motivation); DIF detects items that behave differently in subgroups (e.g., by language or age).</w:t>
      </w:r>
    </w:p>
    <w:p>
      <w:r>
        <w:t xml:space="preserve"> </w:t>
      </w:r>
    </w:p>
    <w:p>
      <w:pPr>
        <w:pStyle w:val="Heading2"/>
      </w:pPr>
      <w:r>
        <w:t>Abstract</w:t>
      </w:r>
    </w:p>
    <w:p>
      <w:r>
        <w:t>We address the need for a brief, theory-grounded tool that predicts adherence to postdischarge deep vein thrombosis (DVT) prophylaxis after hip or knee arthroplasty. We will generate candidate items from protection motivation theory, patient interviews, and expert review, then perform phased psychometric evaluation (exploratory factor analysis, confirmatory factor analysis, and item response theory) across a multi-site cohort. The main contribution is a validated 6–9 item scale with IRT-calibrated scoring, crosswalk to summed scores, DIF analysis across key subgroups, and prespecified clinical cutpoints tied to an 80% adherence escalation rule. Predictive performance will be assessed against objective adherence measures (electronic monitoring where available, pharmacy data, and diaries) using cluster-aware models. Expected outcome: a compact, reproducible instrument that reliably stratifies patients by short-term adherence risk and is suitable for integration into discharge workflows to trigger targeted outreach.</w:t>
      </w:r>
    </w:p>
    <w:p>
      <w:r>
        <w:t xml:space="preserve"> </w:t>
      </w:r>
    </w:p>
    <w:p>
      <w:pPr>
        <w:pStyle w:val="Heading2"/>
      </w:pPr>
      <w:r>
        <w:t>Experiments</w:t>
      </w:r>
    </w:p>
    <w:p>
      <w:r>
        <w:t>Datasets: prospective multi-site cohort of adults ≥18 undergoing primary hip or knee arthroplasty discharged home on anticoagulant prophylaxis. Phases and sample sizes: Phase 1 EFA n=225; Phase 2 CFA n=400; pooled IRT/DIF/predictive modeling n=750 (target across 4–8 sites). Inclusion/exclusion: prescribed postdischarge anticoagulant, discharged home, able to consent; exclude discharge to facility or cognitive impairment. Assessments: baseline at discharge, follow-ups at 2 and 6 weeks. Adherence measures: primary—electronic monitoring (smart injection pens or MEMS) where available; secondary—pharmacy refill records, 14-day patient diary, validated self-report. Clinical endpoints (exploratory): imaging-confirmed symptomatic DVT/PE and ISTH bleeding definitions adjudicated by blinded panel. Baselines (comparators): general self-efficacy scale and validated beliefs-about-medicines questionnaire. Psychometric analyses: EFA with polychoric correlations and parallel analysis; CFA with fit targets CFI/TLI≥0.95, RMSEA≤0.06, SRMR≤0.08; IRT Graded Response Model (GRM) estimation, report discrimination (a) and threshold (b) parameters; internal consistency Cronbach’s alpha and omega≥0.80; test–retest ICC≥0.70 at 7–10 days. DIF: IRT-based ordinal logistic regression with false discovery rate (FDR) control at 5% and minimum subgroup n=200; flag effect-size thresholds (Δa&gt;0.25 logits or McFadden ΔR²&gt;0.02). Predictive models: primary estimator—GEE logistic regression with robust SEs (cluster=site) predicting binary adherence (≥80% dose coverage over 14 days); report OR per SD, AUC with clustered CIs, calibration slope/intercept, Brier score, sensitivity/specificity at operational cutpoints, PPV/NPV, and decision-curve/net-benefit. Sensitivity: mixed-effects logistic with random intercepts; small-cluster checks if clusters&lt;8. Internal validation: clustered bootstrap (1000 reps) and clustered k-fold cross-validation. Ablations: (1) full scale vs 6-item short form, (2) summed-score vs IRT-theta scoring, (3) domain-only models (self-efficacy alone). Missing data: MICE with 50 imputations, predictor matrix includes baseline covariates and auxiliary process variables, passive imputation for derived scores; MNAR sensitivity via pattern-mixture deltas {0.1,0.2,0.4} SD and selection-model multipliers {0.5,1.0,2.0}. Interim analysis and type I error control: one interim look at ~50% information (N≈400) using O’Brien–Fleming alpha-spending to preserve two-sided overall α=0.05; primary analysis adjusted to final alpha. Stopping rule: if interim GEE OR per SD ≥1.5 with 95% CI excluding 1 at O’Brien–Fleming boundary, consider early efficacy stop. Reporting: bias, coverage, AUC, calibration, Brier score, decision-curve, and variance inflation from clustering.</w:t>
      </w:r>
    </w:p>
    <w:p>
      <w:r>
        <w:t xml:space="preserve"> </w:t>
      </w:r>
    </w:p>
    <w:p>
      <w:pPr>
        <w:pStyle w:val="Heading2"/>
      </w:pPr>
      <w:r>
        <w:t>Risk Factors And Limitations</w:t>
      </w:r>
    </w:p>
    <w:p>
      <w:r>
        <w:t>Low event rates for DVT/PE limit power for clinical endpoint prediction; reliance on electronic monitoring may be infeasible at all sites and introduces selection bias if unavailable for some patients. Missing follow-up and nonrandom dropout can bias predictive estimates; MAR assumptions may not hold. DIF or translation issues may reduce validity in non-English groups if subgroup samples are small. Local dependence between items can violate IRT assumptions and complicate scoring. Small number of clusters (sites) can impair mixed-effects estimation and cluster-adjustment reliability. Alerts tied to thresholds may generate clinician workload and fatigue, limiting implementation. Generalizability is limited to patients discharged home after primary hip/knee arthroplasty and may not extend to revision surgery or inpatient-administered prophylaxis. Resource constraints (cost of electronic monitors, staff for adjudication and escalation) may impede scale deployment at scale.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