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A structural trade-off model combining cost-of-leverage and Merton default risk to compute optimal bank capital under systemic externalities</w:t>
      </w:r>
    </w:p>
    <w:p>
      <w:r>
        <w:t xml:space="preserve"> </w:t>
      </w:r>
    </w:p>
    <w:p>
      <w:pPr>
        <w:pStyle w:val="Heading2"/>
      </w:pPr>
      <w:r>
        <w:t>Short Hypothesis</w:t>
      </w:r>
    </w:p>
    <w:p>
      <w:r>
        <w:t>Increasing a bank's equity capital ratio (CET1/asset) by one percentage point causally reduces its one-year probability of insolvency and lowers expected system-wide loss, holding asset risk choices constant.</w:t>
      </w:r>
    </w:p>
    <w:p>
      <w:r>
        <w:t xml:space="preserve"> </w:t>
      </w:r>
    </w:p>
    <w:p>
      <w:pPr>
        <w:pStyle w:val="Heading2"/>
      </w:pPr>
      <w:r>
        <w:t>Related Work</w:t>
      </w:r>
    </w:p>
    <w:p>
      <w:r>
        <w:t>Existing work splits into (a) corporate finance trade-off models that quantify debt tax shields and issuance frictions but rarely model bank-specific liquidity premia or systemic links; (b) structural credit models (Merton-style) that map asset volatility to default probabilities but typically omit capital issuance costs and tax/deposit-insurance distortions; (c) macroprudential and network contagion models that capture systemic spillovers (thresholds, percolation) but often use reduced-form capital effects and lack micro-level identification. Limitations across these strands include weak integration of leverage-cost channels with structural default pricing, lack of empirically calibrated systemic externality functions (Γ) tied to observed interbank networks, endogeneity and identification gaps in causal estimates of capital effects, limited welfare/fiscal closure in policy counterfactuals, and computational approaches that do not address equilibrium multiplicity or basin-of-attraction reporting.</w:t>
      </w:r>
    </w:p>
    <w:p>
      <w:r>
        <w:t xml:space="preserve"> </w:t>
      </w:r>
    </w:p>
    <w:p>
      <w:pPr>
        <w:pStyle w:val="Heading2"/>
      </w:pPr>
      <w:r>
        <w:t>Abstract</w:t>
      </w:r>
    </w:p>
    <w:p>
      <w:r>
        <w:t>We address the question of how much equity banks should hold by building a structural, dynamic trade-off model that links equity levels to bank funding costs and systemic risk. The model integrates a cost-of-leverage specification (which captures lost debt tax shields and liquidity premia) with a Merton-style structural default framework (which maps asset value and volatility into default probabilities). We embed a systemic externality function Γ that can be convex, threshold-like, or network-percolation based to capture spillovers across banks. Parameters are estimated or calibrated using bank-level panels, supervisory network data, and regulatory natural experiments (e.g., MREL rollouts); estimation uses the Method of Simulated Moments to match micro and systemic moments. The main contribution is a transparent mapping from CET1 to WACC (weighted average cost of capital) and welfare, delivering optimal private and social capital profiles across bank and country characteristics. Expected outcomes include evidence-based macroprudential buffer recommendations and quantified welfare trade-offs for policy design.</w:t>
      </w:r>
    </w:p>
    <w:p>
      <w:r>
        <w:t xml:space="preserve"> </w:t>
      </w:r>
    </w:p>
    <w:p>
      <w:pPr>
        <w:pStyle w:val="Heading2"/>
      </w:pPr>
      <w:r>
        <w:t>Experiments</w:t>
      </w:r>
    </w:p>
    <w:p>
      <w:r>
        <w:t>Datasets: 1) US Call Reports / FFIEC quarterly bank panel (CET1, assets, RWAs, loan flows); 2) Commercial databases (SNL/FactSet) for bank traits; 3) BIS consolidated cross-border claims and supervisory tile-level interbank exposures for network construction; 4) Orbis/Amadeus and matched loan-firm linkages for borrower outcomes; 5) Regulatory event timelines (MREL/BRRD rollouts, CCyB activations) and stress-test loss archives. Baselines: A) reduced-form staggered DiD (Callaway &amp; Sant’Anna) estimating capital → lending/risk; B) Merton-only calibration mapping asset volatility to default prob; C) cost-of-leverage-only structural model without Γ. Model variants: full integrated model with Γ; integrated model with Γ=0; integrated model with Γ as convex, logistic, or percolation form; α (friction) linear vs logistic. Evaluation metrics: identification diagnostics (first-stage F-statistic), goodness-of-fit to moments (weighted sum of squared moment errors), moment set: mean and variance of CET1 and leverage, equity issuance elasticity post-treatment, loan growth by borrower quality, nonperforming loan rates, bank distress co-movement, cascade sizes (fraction of failed nodes in network simulations), stress-test loss quantiles; policy outputs: estimated change in WACC per CET1 point, optimal CET1_private and CET1_social, and marginal welfare dW/dk. Experimental setup: panel from 2005–2023 (quarterly), estimation via MSM (simulate model under parameter vector, compute same sample moments, minimize weighted distance), weight matrix = inverse empirical covariance of moments (block bootstrap for time dependence), confidence intervals by parametric bootstrap. Identification/causal checks: staggered DiD for MREL with pre-trend tests, IVs using creditor-priority reforms and court rulings (report F&gt;10), placebo tests on untreated jurisdictions, and power calculations for detecting a 1 percentage-point CET1 effect. Ablations: remove Γ (test omitted externality), replace percolation network with simple aggregate K_agg, and drop network centrality measures to measure sensitivity of optimal CET1 and welfare.</w:t>
      </w:r>
    </w:p>
    <w:p>
      <w:r>
        <w:t xml:space="preserve"> </w:t>
      </w:r>
    </w:p>
    <w:p>
      <w:pPr>
        <w:pStyle w:val="Heading2"/>
      </w:pPr>
      <w:r>
        <w:t>Risk Factors And Limitations</w:t>
      </w:r>
    </w:p>
    <w:p>
      <w:r>
        <w:t>Equilibrium multiplicity: model can produce multiple fixed points (different steady-state aggregate capital levels), so counterfactuals may depend on equilibrium selection. Identification weakness: Γ, α, and Φ may be weakly or partially identified from available natural experiments and instruments. Instrument exclusion risk: proposed instruments (creditor-priority changes, court rulings) may violate exclusion restrictions in practice. Network data gaps: BIS/Orbis contain missing or aggregated ties and intra-group flows that bias network measures and Γ estimates. Measurement error: differences in capital definitions (risk-weighted vs leverage) and reporting lag create noise. Model misspecification: functional forms for Γ or α may not capture real nonlinearities, leading to biased welfare estimates. Computation: MSM with network contagion and HJB solves is computationally intensive and may limit sensitivity analysis. External validity: calibrated parameters and policy recommendations may not generalize across countries with very different legal, tax, or resolution regimes. Fiscal closure: welfare results depend on how resolution costs are financed (taxes vs. debt), which may be uncertain.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