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sustained_customer_satisfaction_revenue_clv</w:t>
      </w:r>
    </w:p>
    <w:p>
      <w:r>
        <w:t xml:space="preserve"> </w:t>
      </w:r>
    </w:p>
    <w:p>
      <w:pPr>
        <w:pStyle w:val="Heading2"/>
      </w:pPr>
      <w:r>
        <w:t>Title</w:t>
      </w:r>
    </w:p>
    <w:p>
      <w:r>
        <w:t>Estimating the sustained causal effect of customer satisfaction on individual bank revenue and customer lifetime value using longitudinal marginal structural models and double-robust methods</w:t>
      </w:r>
    </w:p>
    <w:p>
      <w:r>
        <w:t xml:space="preserve"> </w:t>
      </w:r>
    </w:p>
    <w:p>
      <w:pPr>
        <w:pStyle w:val="Heading2"/>
      </w:pPr>
      <w:r>
        <w:t>Short Hypothesis</w:t>
      </w:r>
    </w:p>
    <w:p>
      <w:r>
        <w:t>A sustained one-point increase in a customer's satisfaction score causes a positive increase in that customer's annual net revenue that persists for at least one to four years and raises discounted customer lifetime value.</w:t>
      </w:r>
    </w:p>
    <w:p>
      <w:r>
        <w:t xml:space="preserve"> </w:t>
      </w:r>
    </w:p>
    <w:p>
      <w:pPr>
        <w:pStyle w:val="Heading2"/>
      </w:pPr>
      <w:r>
        <w:t>Related Work</w:t>
      </w:r>
    </w:p>
    <w:p>
      <w:r>
        <w:t>Existing work links higher customer satisfaction to higher bank revenue, often using cross-sectional or short-run panel methods such as OLS, fixed effects, difference-in-differences, and event studies. Some studies exploit instruments or rollout timing for causal claims but typically focus on aggregate outcomes or year-one effects. Limitations in prior approaches include: failure to adjust for time-varying confounding (changes over time that affect both satisfaction and revenue), limited treatment of continuous satisfaction as a time-varying exposure, weak handling of measurement error in survey scores, inadequate methods for informative attrition (customers dropping out nonrandomly), and inference that ignores estimated weights or serial correlation. Few prior studies combine individual-level survey data with rich transactional records to produce long-horizon customer lifetime value (CLV) estimates while reporting robust uncertainty and heterogeneity across satisfaction tiers.</w:t>
      </w:r>
    </w:p>
    <w:p>
      <w:r>
        <w:t xml:space="preserve"> </w:t>
      </w:r>
    </w:p>
    <w:p>
      <w:pPr>
        <w:pStyle w:val="Heading2"/>
      </w:pPr>
      <w:r>
        <w:t>Abstract</w:t>
      </w:r>
    </w:p>
    <w:p>
      <w:r>
        <w:t>We study whether higher customer satisfaction causes sustained increases in individual bank revenue and customer lifetime value (CLV). Using linked survey responses and objective transaction records for 19,060 Swedish retail customers, we treat satisfaction as a time‑varying exposure and estimate its long‑run causal effects up to four years. Our approach combines marginal structural models (MSMs) with stabilized inverse probability of treatment weights (IPTW) to control time‑varying confounding, double‑robust estimators (AIPW/TMLE) with cross‑fitting to reduce model bias, and measurement‑error models for survey scores. We report effects on annual net revenue, churn probability, and discounted CLV, and decompose impacts into retention and cross‑sell margins. Main contributions are: (1) a preregistered, reproducible estimation pipeline for sustained continuous treatments; (2) validated measurement‑error correction using a held‑out validation subsample; and (3) uncertainty and inference procedures that account for estimated weights and serial dependence. Expected outcomes are credible estimates of per‑point satisfaction effects, heterogeneity by satisfaction tier, and actionable CLV projections for decision making.</w:t>
      </w:r>
    </w:p>
    <w:p>
      <w:r>
        <w:t xml:space="preserve"> </w:t>
      </w:r>
    </w:p>
    <w:p>
      <w:pPr>
        <w:pStyle w:val="Heading2"/>
      </w:pPr>
      <w:r>
        <w:t>Experiments</w:t>
      </w:r>
    </w:p>
    <w:p>
      <w:r>
        <w:t>Datasets: primary dataset is linked survey and transactional data for N=19,060 Swedish retail customers with monthly (or quarterly) panels covering up to 4 years; validation subsample N=500 with repeat surveys and richer measures. Baselines: (1) pooled OLS controlling for covariates, (2) customer fixed effects, (3) staggered DiD/event‑study with robust TWFE corrections, (4) IV using randomized survey timing or rollout strata, (5) marginal structural model (MSM) with IPTW, (6) double‑robust AIPW and TMLE with cross‑fitting, and (7) structural CLV state‑space model. Treatment definitions: continuous satisfaction score modeled as latent continuous and as discretized tiers (quantiles and prespecified cutpoints). Continuous treatment density estimation: SuperLearner density or kernel density with bandwidth selected by cross-validation; sensitivity by discretization schemes. Preprocessing: align timestamps, create lagged covariates, compute revenue components (net interest, fees, cross‑sell income), cost‑to‑serve, churn indicator, tenure. Estimators: nuisance models via SuperLearner ensemble; cross‑fitting with K=5 folds; stabilized IPTW with truncation at [0.01,10] or empirical 1st/99th percentiles; IPCW (inverse probability of censoring weights) combined multiplicatively with IPTW. Inference: influence‑function based SEs and clustered block bootstrap by customer (block length = 12 months) for serial correlation. Evaluation metrics: point estimates for annual net revenue per customer, 1–4 year discounted CLV (currency and % change), churn probability change, retention elasticity, RMSE and bias in simulation, 95% CI coverage, effective sample size (ESS) after weighting, and first‑stage F for IV. Ablations and comparisons: (A) MSM-IPTW vs AIPW/TMLE (assess bias/variance tradeoff); (B) with vs without measurement‑error correction (SIMEX/latent model) to show attenuation; (C) multiplicative vs stabilized weight combination (IPTW*IPCW vs joint stabilized weight); (D) continuous density estimator vs discretized treatment. Reporting: heterogeneity by satisfaction tier, tenure, and product mix; sensitivity plots for weight truncation, MNAR assumptions, and Conley plausibly‑exogenous priors for IV.</w:t>
      </w:r>
    </w:p>
    <w:p>
      <w:r>
        <w:t xml:space="preserve"> </w:t>
      </w:r>
    </w:p>
    <w:p>
      <w:pPr>
        <w:pStyle w:val="Heading2"/>
      </w:pPr>
      <w:r>
        <w:t>Risk Factors And Limitations</w:t>
      </w:r>
    </w:p>
    <w:p>
      <w:r>
        <w:t>Measurement error: survey scores may be noisy or biased, causing attenuation or nonclassical errors that invalidate estimates. Time‑varying unmeasured confounding: unobserved events may affect both satisfaction and revenue over time, limiting causal identification. Instrument validity: candidate instruments (survey timing, rollout) may violate exclusion if they affect revenue directly. Attrition and MNAR (missing not at random): customers leaving the sample in ways related to outcomes can bias long‑horizon estimates. Weight instability: extreme IPTW/IPCW weights can reduce effective sample size and inflate variance. Model dependence: structural CLV and state‑space assumptions may be misspecified, affecting projections. Inference risk: serial correlation and estimated weights complicate standard error estimates. Generalizability: results from Swedish retail customers may not transfer to other countries or bank types. Computational cost: SuperLearner ensembles, cross‑fitting, and block bootstrap increase compute demands. Segment sparsity: small high‑value segments may lack power for precise heterogeneity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