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maternal_informativeness_mobility_la</w:t>
      </w:r>
    </w:p>
    <w:p>
      <w:r>
        <w:t xml:space="preserve"> </w:t>
      </w:r>
    </w:p>
    <w:p>
      <w:pPr>
        <w:pStyle w:val="Heading2"/>
      </w:pPr>
      <w:r>
        <w:t>Title</w:t>
      </w:r>
    </w:p>
    <w:p>
      <w:r>
        <w:t>Estimating causal effects of maternal resources on intergenerational mobility in Latin America using rank-rank comparisons, sibling fixed effects, and instrumental variables</w:t>
      </w:r>
    </w:p>
    <w:p>
      <w:r>
        <w:t xml:space="preserve"> </w:t>
      </w:r>
    </w:p>
    <w:p>
      <w:pPr>
        <w:pStyle w:val="Heading2"/>
      </w:pPr>
      <w:r>
        <w:t>Short Hypothesis</w:t>
      </w:r>
    </w:p>
    <w:p>
      <w:r>
        <w:t>Exogenous increases in maternal resources from mother-targeted programs causally increase children's adult income and education ranks compared to similar children not exposed.</w:t>
      </w:r>
    </w:p>
    <w:p>
      <w:r>
        <w:t xml:space="preserve"> </w:t>
      </w:r>
    </w:p>
    <w:p>
      <w:pPr>
        <w:pStyle w:val="Heading2"/>
      </w:pPr>
      <w:r>
        <w:t>Related Work</w:t>
      </w:r>
    </w:p>
    <w:p>
      <w:r>
        <w:t>Prior work measures intergenerational persistence using rank-rank slopes, intergenerational elasticity (IGE), and transition matrices, typically using one parental proxy at a time (parental education or occupation). Recent studies that combine both parents' education and occupation find larger persistence, highlighting the value of richer family background measures. Limitations remain: parental measures suffer measurement error and top-coding; many surveys lack reliable mother identifiers or longitudinal links; standard OLS estimates are biased by parental endogeneity and assortative mating; IV studies often face weak instruments and generic validity checks rather than country-specific exclusion narratives; mediation and spillover channels (time use, resource control, networks) are underspecified; cross-country harmonization and reproducibility of variable mappings are inconsistent. These gaps leave open how much mothers uniquely contribute to persistence, how robust causal claims are, and how results vary across countries and cohorts.</w:t>
      </w:r>
    </w:p>
    <w:p>
      <w:r>
        <w:t xml:space="preserve"> </w:t>
      </w:r>
    </w:p>
    <w:p>
      <w:pPr>
        <w:pStyle w:val="Heading2"/>
      </w:pPr>
      <w:r>
        <w:t>Abstract</w:t>
      </w:r>
    </w:p>
    <w:p>
      <w:r>
        <w:t>We estimate how maternal resources shape intergenerational mobility in education and income ranks across five Latin American countries by combining parental education and occupation as joint family background proxies, harmonizing measures, and applying causal estimators. At a high level, we compute rank-rank slopes and IGE, decompose explained variance between mothers and fathers, and use sibling fixed effects and mother-targeted instruments (e.g., conditional cash-transfer rollouts and schooling reforms) to obtain causal estimates. We pre-specify mediation tests for maternal time, health, and resource-control channels, and run country-specific falsification checks and weak-IV robust inference. The main contribution is a transparent, harmonized comparison of maternal versus paternal contributions to mobility, with both descriptive (how informative are parental proxies) and causal (how maternal shocks change children’s ranks) results. Expected outcomes are country-level maternal-vs-paternal decompositions, LATE estimates for maternal-targeted policies, and sensitivity bounds that inform policy design aimed at improving upward mobility.</w:t>
      </w:r>
    </w:p>
    <w:p>
      <w:r>
        <w:t xml:space="preserve"> </w:t>
      </w:r>
    </w:p>
    <w:p>
      <w:pPr>
        <w:pStyle w:val="Heading2"/>
      </w:pPr>
      <w:r>
        <w:t>Experiments</w:t>
      </w:r>
    </w:p>
    <w:p>
      <w:r>
        <w:t>Datasets: Mexico (MXFLS, ENIGH linked to Progresa/Oportunidades exposure), Brazil (PNAD and RAIS linked to Bolsa Família registries), Chile (CASEN and administrative early-childhood program rollout), Ecuador and Panama (SEDLAC-harmonized household surveys with parental modules). Include DHS modules for maternal health proxies when available. Baselines: (A) OLS child outcome on father's status only; (B) OLS on mother's status only; (C) OLS including both parents; (D) sibling fixed effects (FE); (E) IV 2SLS using mother-targeted policy exposures; (F) weak-IV robust estimators (LIML, Anderson-Rubin). Outcomes: adult income (log and rank), years of schooling and rank, occupational prestige (ISCO-based index), household wealth, adult height, subjective social ladder. Metrics: rank-rank slope (slope of child's rank on parent's rank), intergenerational elasticity (IGE: percent change in child income from percent change in parent income), R-squared contribution, Shapley decomposition share, transition matrices (quintile mobility), first-stage F and partial R2, LATE with robust CIs. Experimental setup: harmonize education to ISCED-2011 years and attainment, occupations to ISCO-08 and ISEI scores, income to PPP-adjusted per-capita consumption with Pareto top-coding where needed; cluster standard errors at municipality/PSU level, pre-specify wild-cluster bootstrap if clusters &lt;50. Identification checks: event-study pre-trends, placebo cohorts, geographic spillover tests, parent-conditional balance tests. Ablations: (1) drop maternal occupation; (2) drop maternal education; (3) alternate harmonization (years vs attainment); (4) measurement-error correction (SIMEX) vs no correction; (5) different clustering levels. Pre-specified subgroups: rural/urban, indigenous vs non-indigenous, birth cohorts, maternal education tertiles. Power / MDE examples: for N=5,000, 80% power, alpha=0.05, two-sided: MDE in rank-rank slope ≈0.02–0.04; MDE in years of schooling ≈0.2–0.4 years; for IV with first-stage partial R2=0.02, MDE in rank units ≈0.07–0.12. All analyses pre-registered with exact variable codes, clustering choices, multiple-testing families, and falsification regressions.</w:t>
      </w:r>
    </w:p>
    <w:p>
      <w:r>
        <w:t xml:space="preserve"> </w:t>
      </w:r>
    </w:p>
    <w:p>
      <w:pPr>
        <w:pStyle w:val="Heading2"/>
      </w:pPr>
      <w:r>
        <w:t>Risk Factors And Limitations</w:t>
      </w:r>
    </w:p>
    <w:p>
      <w:r>
        <w:t>Weak or invalid instruments: mother-targeted policy rollouts may correlate with other local changes (violates exclusion) or have weak first stages. Measurement error: misreported education, income top-coding, and inconsistent occupation coding reduce precision and bias estimates. Missing mother identifiers or limited linkage reduces sample and creates selection bias. Attrition and nonrandom missingness in panel data produce bias if not missing at random. Spillovers and SUTVA violations: geographic or intra-household interference can bias DiD/IV estimates. Assortative mating and unobserved parental traits confound maternal vs paternal separation. Small cluster counts make cluster-robust inference unreliable. Cross-country harmonization limits external validity: mappings (ISCED/ISCO, PPP) can misalign national degrees and occupations. Generalization: LATE from IV applies only to compliers and may not reflect average effects. Computational limits: complex mediation and robust IV inference with bootstraps and spatial tests increase compute and reproducibility burden.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