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ecb_climate_event_bank_returns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Event-study and panel causal analysis of the effect of ECB climate announcements on European banks' stock returns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ECB climate-related announcements causally change short-horizon abnormal stock returns of European banks, with banks having higher fossil-fuel lending exposure exhibiting larger negative abnormal returns.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research applies event-study methods and panel regressions to measure how policy and climate news affect bank stock returns. Standard approaches use daily cumulative abnormal returns (CARs) with market-model or Fama-French benchmarks, and some studies use long-horizon buy-and-hold abnormal returns (BHARs). Recent work adds textual analysis to date events and measure tone. Limitations remain: many studies use daily rather than intraday timestamps, creating imprecise event identification; microstructure noise and asynchronous trading bias intraday estimates if uncorrected; staggered difference-in-differences (DiD) designs often rely on two-way fixed effects (TWFE), which can be biased with heterogeneous timing; exposure measures from ESG vendors have measurement error that attenuates estimates; instrument strategies for exposure are rarely fully falsified; overlapping or co-occurring policy and firm news can confound effects. These gaps limit causal identification and precise heterogeneity analysis.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measures the causal impact of European Central Bank climate-related announcements on European banks' stock returns. We construct a timestamped ECB climate-event database and apply a preregistered empirical pipeline combining intraday and daily event-study windows, staggered panel causal estimators, and instrumental-variable checks. Short-horizon outcomes are intraday and daily cumulative abnormal returns (CARs); long-horizon outcomes include BHARs and calendar-time alphas. We use NLP to flag concurrent news and to build an intensity index for each ECB item, and we harmonize multiple data sources to create bank-level climate exposure measures. Main contributions are (1) precise intraday identification of ECB-climate events, (2) joint use of event-study and modern staggered-DiD estimators to estimate heterogeneous causal effects, and (3) transparent IV and placebo falsifications to probe exclusion assumptions. Expected results are measurable, exposure-dependent market reactions that clarify how ECB signals reprice transition risk for banks.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high-frequency trade and quote data for listed European banks (Refinitiv/Datastream or equivalent), daily prices and indices (national market indices, STOXX Europe Banks), bank financials (Orbis/Bankscope), climate exposure inputs (Refinitiv ESG, CDP, loan-book mappings), CDS spreads (Markit if available), ECB communications (timestamped press releases, speeches, supervisory guides), global news feeds (Factiva, Reuters), and a synthetic public sample for reproducibility. Primary benchmarks and baselines: 1) market-model CAR using national/regional market index; 2) Fama-French 3/5-factor plus momentum for daily/BHARs; 3) TWFE DiD; 4) placebo non-climate ECB statements; 5) no-event permutation baseline. Causal estimators and comparisons: Callaway-Sant'Anna staggered DiD (primary), Sun-Abraham (robustness), panel fixed effects with event×exposure interaction, IV 2SLS using historical regional industrial composition and pre-2000 regional energy mix interacted with branch density, and synthetic control for big announcements. Intraday setup: 5-minute bins, mid-quote or VWAP returns, estimation window [-252,-21] trading days for daily models and prior 60 trading days for intraday market models. Prespecified event windows: intraday [-30,+30] minutes and [0,+60] minutes; daily [-1,+1], [0,+1], [0,+5]; BHARs at 1,3,6,12 months. Inference: cluster SEs by firm and date, use wild-cluster bootstrap, Romano-Wolf stepdown for multiple testing, and report adjusted p-values. Evaluation metrics: CAR and BHAR in basis points (effect size), t-statistics and adjusted p-values, first-stage F-stat and Kleibergen-Paap, Hansen J p-value for overidentification, AF/AR weak-instrument diagnostics, placebo rejection rates, power and minimal detectable effects (MDE) under clustered simulations, and coverage of confidence intervals. Ablations and sensitivity studies: 1) compare market-model vs Fama-French benchmarks; 2) intraday vs daily windows; 3) include vs exclude microstructure corrections (VWAP/mid-quote and liquidity filters); 4) Callaway-Sant'Anna vs Sun-Abraham vs stacked event-study; 5) IV excluded vs included and leave-one-instrument out; 6) varying NLP bundling thresholds (30,60,120 minutes) and alternate intensity index constructions. Reproducibility: pre-register seeds, provide Docker/Conda environment spec, and publish code with a synthetic public dataset following the same formats.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IV exclusion failure: historical instruments may affect returns through channels other than bank exposure, invalidating causal claims. ECB policy endogeneity: ECB may react to contemporaneous macro or financial stress, biasing event estimates. Measurement error: ESG and loan-book harmonization can have large errors that attenuate exposure effects. Event-dating errors: mis-timed timestamps or bundled announcements can blur intraday identification. Overlapping events: multiple ECB or firm-specific announcements within short windows complicate attribution. Microstructure biases: thin trading, bid-ask bounce, and asynchronous timestamps may distort intraday CARs. Weak instruments: first-stage weakness reduces IV power and produces large CIs. Low power: few rare ECB-climate announcements or few traded banks limits detectable effect sizes. Data access and reproducibility: proprietary feeds limit public replication and require synthetic or partial public samples. External validity: results may not generalize beyond listed banks, eurozone vs non-euro countries, or to non-European jurisdictions.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