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eu_funds_tfp_spatio_temporal</w:t>
      </w:r>
    </w:p>
    <w:p>
      <w:r>
        <w:t xml:space="preserve"> </w:t>
      </w:r>
    </w:p>
    <w:p>
      <w:pPr>
        <w:pStyle w:val="Heading2"/>
      </w:pPr>
      <w:r>
        <w:t>Title</w:t>
      </w:r>
    </w:p>
    <w:p>
      <w:r>
        <w:t>Estimating the spatial and temporal causal effects of EU cohesion funds on regional total factor productivity using spatial-IV and staggered-DID methods</w:t>
      </w:r>
    </w:p>
    <w:p>
      <w:r>
        <w:t xml:space="preserve"> </w:t>
      </w:r>
    </w:p>
    <w:p>
      <w:pPr>
        <w:pStyle w:val="Heading2"/>
      </w:pPr>
      <w:r>
        <w:t>Short Hypothesis</w:t>
      </w:r>
    </w:p>
    <w:p>
      <w:r>
        <w:t>An increase in regional EU fund intensity (funds divided by regional GDP) causes higher regional total factor productivity (TFP) growth over the following 0–8 years, with effect sizes varying by fund type (ERDF, ESF, CF, EAFRD) and by initial regional development level.</w:t>
      </w:r>
    </w:p>
    <w:p>
      <w:r>
        <w:t xml:space="preserve"> </w:t>
      </w:r>
    </w:p>
    <w:p>
      <w:pPr>
        <w:pStyle w:val="Heading2"/>
      </w:pPr>
      <w:r>
        <w:t>Related Work</w:t>
      </w:r>
    </w:p>
    <w:p>
      <w:r>
        <w:t>Prior studies estimate the effect of cohesion funds on regional productivity using panel regressions, difference-in-differences, and cross-sectional analyses. Common approaches either: (a) ignore spatial spillovers or include simple spatial fixed effects, (b) use naive TFP measures without accounting for heterogeneous capital accumulation across regions, or (c) rely on single identification strategies that are vulnerable to endogeneity from program targeting. Limitations include: imprecise TFP measurement (failure to test alternative estimators), weak or invalid instruments for fund allocation, biased estimates under staggered timing of treatments, and inadequate modeling of spatial dependence and spillovers. Existing work rarely combines leave-one-out Bartik-style instruments, modern staggered-DID estimators, dynamic spatial models, and measurement-error corrections in a single reproducible framework. These gaps leave open questions on timing (pre-crisis, crisis, recovery), fund-type heterogeneity, and spatial diffusion of effects.</w:t>
      </w:r>
    </w:p>
    <w:p>
      <w:r>
        <w:t xml:space="preserve"> </w:t>
      </w:r>
    </w:p>
    <w:p>
      <w:pPr>
        <w:pStyle w:val="Heading2"/>
      </w:pPr>
      <w:r>
        <w:t>Abstract</w:t>
      </w:r>
    </w:p>
    <w:p>
      <w:r>
        <w:t>This study quantifies how European Structural and Investment Funds (ESIFs) affect regional total factor productivity (TFP) growth across 262 NUTS2 regions from 2000–2019. We compute region-year TFP as a Solow residual while allowing capital accumulation to differ across regions, and we distinguish effects by fund type and by temporal phases (2000–2008, 2008–2014, 2014–2019). Identification blends a leave-one-out Bartik predicted-share instrument (using pre-treatment regional program shares and national envelopes), staggered-adoption difference-in-differences (Callaway &amp; Sant’Anna) for dynamic timing, and spatial-IVs to capture spillovers. We estimate dynamic spatial models (spatial Durbin / SDEM) and system GMM for dynamics, and apply SIMEX and IV corrections for measurement error. The main contribution is a reproducible, pre-registered pipeline that yields credible causal magnitudes, maps of spillovers, and channel evidence (investment, innovation, public capital). Expected outcome: robust estimates of short- and medium-run TFP gains per unit of EU funding, spatial spillover patterns, and policy-relevant elasticities by fund type and region.</w:t>
      </w:r>
    </w:p>
    <w:p>
      <w:r>
        <w:t xml:space="preserve"> </w:t>
      </w:r>
    </w:p>
    <w:p>
      <w:pPr>
        <w:pStyle w:val="Heading2"/>
      </w:pPr>
      <w:r>
        <w:t>Experiments</w:t>
      </w:r>
    </w:p>
    <w:p>
      <w:r>
        <w:t>Datasets: (1) Region-year panel, NUTS2, 2000–2019: GDP or value added, employment, gross fixed capital formation by region, annual EU fund disbursements by program and type (ERDF, ESF, CF, EAFRD), population, sectoral shares, unemployment, human capital indicators, governance indices. (2) Project-level EU funds data where available for allocation validation. (3) Firm-level microdata and patent counts for channel tests. (4) Commuting/trade matrices for alternative spatial weights. Baselines: A. Dynamic two-way fixed effects: lnTFP_it = γ_i + δ_t + Σ_{k=0}^K β_k FundShare_{i,t-k} + X_itθ + ε_it. B. Staggered DID: Callaway &amp; Sant’Anna group-time ATT (primary). C. Spatial Durbin Model (SDM/SDEM) with spatial lag of fund intensity and TFP. D. IV 2SLS using leave-one-out PredictedShare and spatially lagged PredictedShare as instruments. E. System GMM (Arellano-Bover/Blundell-Bond) for dynamics. Alternative TFP measures: Malmquist index, aggregated firm-level LP/OP estimates. Evaluation metrics: estimated annual treatment elasticities β_k, cumulative 0–8 year effect, standard errors and 95% CI, first-stage F-statistic and Sanderson–Windmeijer statistics for multi-instrument strength, placebo p-values for pre-trend tests, RMSE and coverage in Monte Carlo. Primary spatial weight: queen contiguity (row-standardized); robustness: inverse-distance, kNN (k=5), economic-distance (commuting). Instrument construction: PredictedShare_it = Σ_p preShare_i,p^{(-i)} × NationalAlloc_{p,t}; winsorize 1st/99th pct and normalize. Pre-registered estimation steps: (1) construct lnTFP using Solow residual with α = country/sector capital share; sensitivity α ∈ [0.25,0.45] and δ ∈ {0.03,0.05,0.08}; (2) baseline FE dynamic and event-study; (3) staggered-DID (CSA) primary; (4) IV 2SLS with spatial instruments; (5) spatial SDM/SDEM estimation; (6) system GMM as robustness; (7) SIMEX and IV for measurement-error correction; (8) channel regressions: predicted funds → investment, patents, public capital; then instrumented mediator → lnTFP to estimate indirect effects. Ablation studies: (i) drop spatial lag terms; (ii) drop IV and estimate OLS FE; (iii) alternative TFP estimator (Malmquist); (iv) different W matrices; (v) varying instrument strength (Monte Carlo F≈5,10,25). Monte Carlo simulation: panels with N∈{150,300}, T∈{10,20}, spatial autocorrelation ρ∈{0,0.3,0.6}, first-stage strength F∈{5,10,25}, true β∈{0,0.01,0.03}, include country shocks and spatially decaying residual correlation. Report bias, RMSE, CI coverage, and power. Reporting: pre-specified tables for main effects, cumulative impacts, heterogeneity by fund type and development terciles, spatial spillover maps, first-stage diagnostics, and placebo tests.</w:t>
      </w:r>
    </w:p>
    <w:p>
      <w:r>
        <w:t xml:space="preserve"> </w:t>
      </w:r>
    </w:p>
    <w:p>
      <w:pPr>
        <w:pStyle w:val="Heading2"/>
      </w:pPr>
      <w:r>
        <w:t>Risk Factors And Limitations</w:t>
      </w:r>
    </w:p>
    <w:p>
      <w:r>
        <w:t>Measurement error: misaligned project-region allocation, incomplete disbursement records, and capital stock estimation errors can attenuate estimates. Instrument validity risk: PredictedShare exclusion may fail if pre-shares correlate with unobserved trends; neighbor-IVs risk being endogenous via regional spillovers. Weak instruments: low first-stage F produces unreliable IV CIs. Spatial confounding: unobserved cross-border policies or correlated shocks can bias spatial estimates. Staggered-treatment bias: heterogeneous timing and effects may violate TWFE assumptions if not fully corrected. Small cluster inference: few country clusters reduce reliable SEs; wild bootstrap or permutation may have limited power. Data harmonization: NUTS boundary changes and missing years reduce sample size or require interpolation. Computational limits: system GMM, spatial-IV, and wild-bootstrap with Monte Carlo are compute-intensive (HPC recommended). External validity: results apply to EU NUTS2 regions in 2000–2019 and may not generalize to other contexts or later policy regimes. Channel identification: mediation estimates rely on additional instruments and assume no mediator-outcome unobserved confounding.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