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true_pricing_presentation_rct</w:t>
      </w:r>
    </w:p>
    <w:p>
      <w:r>
        <w:t xml:space="preserve"> </w:t>
      </w:r>
    </w:p>
    <w:p>
      <w:pPr>
        <w:pStyle w:val="Heading2"/>
      </w:pPr>
      <w:r>
        <w:t>Title</w:t>
      </w:r>
    </w:p>
    <w:p>
      <w:r>
        <w:t>Randomized survey experiment testing how absolute, relative, and provenance-aware true-price presentation formats affect consumer choice for products with monetized external costs</w:t>
      </w:r>
    </w:p>
    <w:p>
      <w:r>
        <w:t xml:space="preserve"> </w:t>
      </w:r>
    </w:p>
    <w:p>
      <w:pPr>
        <w:pStyle w:val="Heading2"/>
      </w:pPr>
      <w:r>
        <w:t>Short Hypothesis</w:t>
      </w:r>
    </w:p>
    <w:p>
      <w:r>
        <w:t>Displaying an absolute monetary true-price adder at point-of-sale will reduce the purchase probability of high-externality products compared to presenting no true-price information.</w:t>
      </w:r>
    </w:p>
    <w:p>
      <w:r>
        <w:t xml:space="preserve"> </w:t>
      </w:r>
    </w:p>
    <w:p>
      <w:pPr>
        <w:pStyle w:val="Heading2"/>
      </w:pPr>
      <w:r>
        <w:t>Related Work</w:t>
      </w:r>
    </w:p>
    <w:p>
      <w:r>
        <w:t>Existing work combines life-cycle assessment (LCA) and monetization to estimate external costs and has explored price and label effects on consumer choice. Prior approaches provide LCA-based cost estimates, prototype labels, and small behavioral tests. Limitations include small or non-representative samples, inconsistent label formats (monetary vs percent), weak treatment of upstream uncertainty and provenance, ad hoc dependence modeling between inputs, incomplete rules to avoid double-counting in monetization, and limited sensitivity or convergence reporting. Work on experimental design and Bayesian validation improves precision but is rarely integrated end-to-end with consumer-facing label generation. There is also limited evidence on how different uncertainty displays and provenance confidence signals change comprehension, trust, and behavior, and existing studies rarely pre-register structural choices or provide reproducible pipelines that record sampling seeds and diagnostics.</w:t>
      </w:r>
    </w:p>
    <w:p>
      <w:r>
        <w:t xml:space="preserve"> </w:t>
      </w:r>
    </w:p>
    <w:p>
      <w:pPr>
        <w:pStyle w:val="Heading2"/>
      </w:pPr>
      <w:r>
        <w:t>Abstract</w:t>
      </w:r>
    </w:p>
    <w:p>
      <w:r>
        <w:t>We study how to communicate monetized external costs ('true prices') at the point of sale and measure effects on consumer decisions. Using a preregistered randomized survey experiment, we present three label formats—absolute monetary adders, relative percentage adders, and no information—plus variants that include a provenance confidence tier derived from upstream data and sampling diagnostics. True-price inputs come from reproducible LCA and monetization pipelines with Monte Carlo uncertainty propagation and dependence modeling. The main contribution is an integrated, reproducible evaluation linking upstream methodological choices and diagnostics to consumer-facing labels, showing which presentation formats change purchase behavior, comprehension, and trust. Expected outcomes include quantification of behavioral effect sizes for format variants, empirical evidence on how provenance confidence affects interpretation, and sensitivity of consumer signals to upstream uncertainty. Results will inform label design, preregistration practices, and requirements for provenance metadata to support responsible deployment of true-price information.</w:t>
      </w:r>
    </w:p>
    <w:p>
      <w:r>
        <w:t xml:space="preserve"> </w:t>
      </w:r>
    </w:p>
    <w:p>
      <w:pPr>
        <w:pStyle w:val="Heading2"/>
      </w:pPr>
      <w:r>
        <w:t>Experiments</w:t>
      </w:r>
    </w:p>
    <w:p>
      <w:r>
        <w:t>Datasets: (1) Survey sample: N=1,400 adult consumers recruited in the Netherlands and Denmark, stratified by income tercile, age group, and urban/rural status. (2) Product LCI and monetization baselines for six pilot products: beef, apple, cotton T-shirt, smartphone, regional electricity mix, public-transport ticket. (3) Synthetic-data test suite covering perturbed LCI inputs and misspecified dependence structures. Baselines: (A) no true-price information; (B) absolute monetary adder (currency per unit); (C) relative percentage adder (% price increase). Variants: each baseline crossed with provenance confidence tier (high/medium/low) and with/without uncertainty range display. Monte Carlo and sensitivity: perform Monte Carlo draws per product &gt;=20,000 (random seed recorded) to generate median and 90% CI; run Sobol global sensitivity analysis with N=2,000 base samples and m=10 drivers (Sobol runs = N*(m+2)=24,000 evaluations). Dependence modeling: fit empirical correlations where available; otherwise fit Gaussian and t-copulas (copula: a function that links marginal distributions to model joint behavior; explain: it models how inputs move together). Record copula family, parameters, and GOF stats. Randomization and arms: factorial RCT with arms for format × provenance × uncertainty display; minimum per-arm sample for full study ≈1,500 per arm for 5 percentage-point MDE at 80% power; initial pilot N≈200 per arm to test stimuli. Evaluation metrics: primary: binary purchase choice (choice share) analyzed with logistic regression (intent-to-treat). Secondary: willingness-to-pay (WTP) from payment-card items (analyzed with OLS or Tobit), comprehension score (quiz-style, 0-100), trust rating (Likert 1-7), and label stability metric (tier flip rate under upstream perturbations). Diagnostics and reproducibility: record PRNG seed/version, container image hash, Sobol/MCMC seeds, R-hat and ESS for any MCMC, CI widths, and multimodality flags in provenance. Statistical tests and corrections: pre-specified regression models, heterogeneity analyses by income and product, familywise error control with Benjamini-Hochberg for main families, subgroup interaction tests, attrition-robust bounds and multiple imputation for missingness. Ablation studies: (1) compare absolute vs relative formats; (2) remove provenance tier to measure its incremental effect; (3) compare different uncertainty displays (numeric CI vs tiered label) on comprehension and choice; (4) stress test dependence: re-run monetization with alternative copula choices and report change in label tier and downstream choice shares. Acceptance criteria: statistically significant format effect (p&lt;0.05) on choice share or null result with narrow CI excluding minimally important effect (±5 pp), and label tier flip rate &lt;5% under perturbations within upstream 90% CI.</w:t>
      </w:r>
    </w:p>
    <w:p>
      <w:r>
        <w:t xml:space="preserve"> </w:t>
      </w:r>
    </w:p>
    <w:p>
      <w:pPr>
        <w:pStyle w:val="Heading2"/>
      </w:pPr>
      <w:r>
        <w:t>Risk Factors And Limitations</w:t>
      </w:r>
    </w:p>
    <w:p>
      <w:r>
        <w:t>Technical failure modes: Monte Carlo or Sobol runs may not converge (non-convergence flagged by R-hat&gt;1.1 or unstable Sobol indices), leading to unreliable labels. Dependence misspecification: incorrect copula choice can bias monetized adders and change consumer signals. Monetization ethics and double-counting: overlapping valuations (VSL, DALY, ecosystem services) may produce inflated or inconsistent adders. Data and legal risks: proprietary LCI datasets may be inaccessible or restrict reproducibility; synthetic derivatives may not capture real-world variance. Compute and ops limits: required runs (20k–50k per product variant) increase cost and runtime; spot-instance failures can interrupt long jobs without checkpointing. Evaluation biases: survey sample from two countries limits generalization to other cultural or market contexts. Behavioral risks: provenance or uncertainty displays may confuse consumers or produce unintended regressive effects (harming low-income groups). RCT risks: attrition, non-compliance, and measurement error in WTP can reduce power. Validation limits: benchmarks for some products are sparse, making calibration and cross-checks weak for less-studied items. Reproducibility limits: if seeds, container hashes, and provenance fields are incomplete, exact replication fails.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