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markup_product_diff_airlines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markup-decomposition framework integrating product differentiation to estimate firm-level markups and welfare in the U.S. airline industry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Including route- and itinerary-level product differentiation attributes in a markup-decomposition framework causes statistically significant changes in estimated firm markups and consumer welfare compared to estimators that omit product differentiation.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estimate demand with discrete-choice models (standard logit or random-coefficients BLP) and recover markups from price elasticities and marginal-cost estimates using firm first-order conditions. Traditional markup-decomposition methods (building on Lovell-style decompositions) separate price, cost, and quantity effects but typically omit explicit accounting for rich product differentiation (itinerary attributes, ancillaries, basic-economy, schedules). Limitations include: (i) potential bias from omitted product attributes that alter substitution patterns; (ii) weak or invalid instruments for price in high-dimensional product spaces; (iii) crude marginal-cost allocations (CASM) with unpropagated measurement error; (iv) codeshare/JV and dynamic pricing effects that are often ignored; and (v) insufficient procedures to map static preference estimates into dynamic pricing/prior structures.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develop and apply a markup-decomposition framework that explicitly incorporates product differentiation to identify drivers of firm-level markups and welfare in the U.S. airline industry. At the core is a demand model with route×itinerary product attributes (fare, travel time, stops, departure window, seat class, ancillaries) and random coefficients to capture heterogeneous substitution. Supply is modeled via multi-product firm first-order conditions (FOCs) to recover markups from estimated elasticities and marginal-costs. The main contribution is an estimable mapping from static preference and cost estimates into a decomposition that isolates product-differentiation effects on markup dynamics, plus procedures to propagate marginal-cost measurement error (bootstrap and Bayesian errors-in-variables) and to account for codeshares and ownership. Expected outcomes are improved identification of markup sources across 20 U.S. carriers over a two-decade panel, quantified welfare impacts of product features (e.g., basic-economy), and transparent uncertainty bands for policy counterfactuals.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DB1B (ticket-level fares/itineraries), T-100 (segment operations and ASM), OAG/Innovata (schedules/frequency), FAA fuel time series, airport slot/constraint indicators, DOT market-level demand measures, carrier financials. Sample: panel of 20 major U.S. airlines over a two-decade period (pilot subset of top 10 O-Ds for DDC). Baselines: (A) standard BLP mixed-logit demand + FOC markups without product-differentiation decomposition; (B) nested logit alternative; (C) naive Lerner-style markups using aggregate CASM. Estimators: two-step simulated GMM and MPEC joint estimation; instrument sets: leave-one-out rival-characteristic instruments, rival-average Hausman-style instruments, distance/fuel/slot cost shifters. Evaluation metrics: first-stage F-stat and partial R2 (instrument strength), Hansen J overidentification p-value, Anderson-Rubin confidence sets for conduct parameter, out-of-sample market-share RMSE, distributional statistics of estimated markups (mean, median, 10/90 percentiles), consumer surplus (compensating variation) and producer surplus changes with 90% uncertainty bands from bootstrap/Bayesian EIV. Experimental setup: (1) Main estimate: full model with product attributes and codeshare accounting; (2) Ablation 1: drop product attributes (compare markup distribution and welfare); (3) Ablation 2: omit codeshare adjustments; (4) Sensitivity: alternate cost-allocation rules and bootstrap vs Bayesian EIV for marginal-cost uncertainty; (5) Robustness: nested logit vs mixed-logit; (6) DDC pilot: use static estimates to construct priors for state-transition and value functions in top 10 O-Ds and compare static-implied and DDC-implied markups. Report decision thresholds (F&gt;10, Hansen p&gt;0.05) and provide per-market first-stage diagnostics.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Instrument weakness or invalidation in certain markets (weak IVs yield wide CIs). Marginal-cost measurement error and nonclassical errors (multiplicative bias) that may not be fully identified. Missing or censored ancillary and fare-bucket data limiting DDC identification and ancillary-endogeneity handling. Codeshare/ticketing misclassification in DB1B/T-100 that can bias supply moments if ambiguous share is large. Structural breaks from mergers, fuel shocks, or pandemic periods may confound long-span identification and require exclusion or regime modeling. High computational cost for MPEC/GMM with many draws and markets may limit full-sample exploration; pilot-market scaling required. Results are context-specific to U.S. airline networks and may not generalize to other transport markets without re-calibration.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