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doing_redoing_undoing_gender_de</w:t>
      </w:r>
    </w:p>
    <w:p>
      <w:r>
        <w:t xml:space="preserve"> </w:t>
      </w:r>
    </w:p>
    <w:p>
      <w:pPr>
        <w:pStyle w:val="Heading2"/>
      </w:pPr>
      <w:r>
        <w:t>Title</w:t>
      </w:r>
    </w:p>
    <w:p>
      <w:r>
        <w:t>Mixed-methods analysis of how founders' performative repertoires affect funding, time-to-funding, and retention outcomes for women tech founders in Germany</w:t>
      </w:r>
    </w:p>
    <w:p>
      <w:r>
        <w:t xml:space="preserve"> </w:t>
      </w:r>
    </w:p>
    <w:p>
      <w:pPr>
        <w:pStyle w:val="Heading2"/>
      </w:pPr>
      <w:r>
        <w:t>Short Hypothesis</w:t>
      </w:r>
    </w:p>
    <w:p>
      <w:r>
        <w:t>Women founders whose pitch and public repertoires are coded predominantly as communal receive lower subsequent funding amounts than comparable founders whose repertoires are more agentic or masculinized, controlling for firm characteristics and sector.</w:t>
      </w:r>
    </w:p>
    <w:p>
      <w:r>
        <w:t xml:space="preserve"> </w:t>
      </w:r>
    </w:p>
    <w:p>
      <w:pPr>
        <w:pStyle w:val="Heading2"/>
      </w:pPr>
      <w:r>
        <w:t>Related Work</w:t>
      </w:r>
    </w:p>
    <w:p>
      <w:r>
        <w:t>Existing work combines qualitative studies of gendered entrepreneurship with quantitative analyses of funding gaps and some computational text methods. Qualitative research documents how women adapt performance strategies (communal or agentic) in pitches and management; quantitative work links founder gender to funding outcomes using registries and investor data. Computational approaches use lexical sentiment or agency/communion dictionaries and transformer models to predict outcomes. Limitations: (1) most quantitative studies rely on lexical counts or English-only models and miss multimodal cues (appearance, slide imagery, embodied signals); (2) causal claims are weak because few studies pre-specify quasi-experimental designs or valid instruments; (3) sample frames often underrepresent intersectional groups (mothers, migrants); (4) reproducibility and preregistered ML pipelines are often absent; (5) audiovisual and structural (policy) signals are rarely integrated with text-based repertoires. These gaps limit understanding of mechanisms linking performative repertoires to measurable outcomes.</w:t>
      </w:r>
    </w:p>
    <w:p>
      <w:r>
        <w:t xml:space="preserve"> </w:t>
      </w:r>
    </w:p>
    <w:p>
      <w:pPr>
        <w:pStyle w:val="Heading2"/>
      </w:pPr>
      <w:r>
        <w:t>Abstract</w:t>
      </w:r>
    </w:p>
    <w:p>
      <w:r>
        <w:t>This study examines whether and how women tech founders in Germany construct visibility in ways that reproduce, modify, or disrupt gendered expectations, and whether those performative repertoires causally affect funding, funding speed, and employee retention. We use a mixed-methods design: a large multimodal corpus (business registries, funding records, pitch and media transcripts, event video/photos), a national founder survey (N=600–1,000), an investor vignette experiment (N≈600), and purposive qualitative interviews and observations (40–50). We develop validated repertoires classifiers (linguistic, embodied, structural signals) and map founders/events onto doing/redoing/undoing axes. Causal identification uses staggered difference-in-differences, incubator-lottery or regional rollout instruments where available, and synthetic-control for region-level shocks. Main contributions are (1) a reproducible multimodal measurement of performative repertoires, (2) causal tests linking repertoires to funding and retention outcomes, and (3) integrated qualitative mechanisms explaining identity costs. Expected outcomes include quantifiable effect sizes for repertoires on funding and policy-relevant insights for incubators and investors.</w:t>
      </w:r>
    </w:p>
    <w:p>
      <w:r>
        <w:t xml:space="preserve"> </w:t>
      </w:r>
    </w:p>
    <w:p>
      <w:pPr>
        <w:pStyle w:val="Heading2"/>
      </w:pPr>
      <w:r>
        <w:t>Experiments</w:t>
      </w:r>
    </w:p>
    <w:p>
      <w:r>
        <w:t>Datasets: (1) Firm/founder layer from German startup registries, Dealroom/Crunchbase, and LinkedIn (target sample: 1,500 firms founded 2015–2025, with ~300 funding events); (2) Funding layer with round amounts, dates, investor IDs; (3) Multimodal corpus of ~1,500 pitch/media transcripts and ~400 event videos/photos (GDPR-consented); (4) Survey of founders N=600–1,000 capturing policies, self-reported repertoires, identity strain; (5) Investor vignette experiment N≈600 (online) with randomized founder repertoires. Baselines: (A) no-repertoire baseline: regressions with only firm/founder covariates; (B) lexical-only baseline: simple dictionary counts for communion/agency; (C) unimodal classifier: text-only transformer; (D) structural-only model: policy indicators only. Metrics: Funding amount (log euros) and funding probability (binary); time-to-funding (survival analysis hazard ratios); employee retention rate (%) and team gender ratio; classifier metrics AUC, precision, recall; intercoder reliability Krippendorff's alpha for manual codes. Experimental setup: (1) Measurement: annotate 500+ documents for repertoires (codes: communal, agentic, masculinized, undoing policies); target Krippendorff's alpha ≥0.80; train multilingual transformer (XLM-R or mBERT) fine-tuned on annotated set using 5-fold cross-validation; hyperparameters: learning rate grid [1e-5, 3e-5, 5e-5], epochs 3–8, batch sizes [16,32]; random seeds [42, 101, 2021] for reproducibility. (2) Causal tests: primary estimator csdid (Callaway &amp; Sant’Anna) for staggered DiD with cohort by incubator-entry quarter; robustness: de Chaisemartin &amp; D’Haultfoeuille decomposition; IV analyses using incubator-lottery or regional rollouts as instruments where available; report first-stage F&gt;10 and Anderson-Rubin CIs; synthetic control at region/hub level with pre-treatment fit thresholds RMSPE ratio ≤3 and placebo permutation tests. (3) Regression models: OLS/GLM for funding amounts with controls (sector, age, traction metrics), cluster SEs at hub level; event-history Cox models for time-to-funding with left-truncation handling; propensity-score matched comparisons as sensitivity. (4) Vignette experiment: randomize repertoire cues (communal vs agentic vs undoing policy signal) and measure investor funding willingness (binary) and confidence score (0-100); analyze with logistic regression and average treatment effects. Ablations: (i) remove embodied/visual features from classifier; (ii) remove structural policy indicators; (iii) restrict sample to single hub; (iv) exclude intersectional controls (parenthood, migration) to measure bias. Report pre-registered multiple-testing corrections (Benjamini-Hochberg) and cluster-adjusted MDEs from Monte Carlo sims incorporating ICC values used in power calculations.</w:t>
      </w:r>
    </w:p>
    <w:p>
      <w:r>
        <w:t xml:space="preserve"> </w:t>
      </w:r>
    </w:p>
    <w:p>
      <w:pPr>
        <w:pStyle w:val="Heading2"/>
      </w:pPr>
      <w:r>
        <w:t>Risk Factors And Limitations</w:t>
      </w:r>
    </w:p>
    <w:p>
      <w:r>
        <w:t>IV credibility risk: incubator lotteries or regional rollouts may violate exclusion if they affect firm outcomes through channels other than investor exposure. Measurement error: NLP classifiers may mislabel repertoires, especially with German-English code-switching or low-resource dialects. Audiovisual limits: consent restrictions and GDPR may reduce available video/photo samples and bias the multimodal corpus. Selection bias and survivorship: firms that apply to or survive incubators/funding are non-random; left-censoring may distort event-history estimates. Small subgroup sample sizes: intersectional strata (migrant mothers, disabled founders) may be too small for precise subgroup inference. Clustering and ICC: higher intra-hub correlation increases minimum detectable effects (MDEs) and reduces power. Language invariance: survey scales or classifiers may fail multi-group measurement invariance across German and English, limiting cross-language comparability. Compute and reproducibility constraints: transformer training and synthetic-control permutations require substantial compute; failure to archive seeds and pipelines can impede replication. Scope: findings may not generalize beyond German tech hubs or to non-tech sectors.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