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santander_export_growth_regression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Hierarchical Bayesian regression and multi-criteria decision analysis to identify drivers of export firm growth in Santander, Colombia (2010–2020)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firm gross margins, larger firm size, and lower regulatory friction cause greater annual export revenue growth for Santander exporters, controlling for product attributes, logistics costs, and year-level shocks.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panel and cross-sectional econometric studies of export performance that use OLS, fixed-effects, and gravity-style models to link firm traits (size, productivity, margins) to export outcomes. Machine-learning models and random-forest predictors have been applied for export volume forecasting. Multi-criteria decision analysis (MCDA) has been used for market prioritization but typically relies on static expert weights. Cost-to-serve and partner-risk frameworks exist for logistics and distribution but are rarely integrated with firm-level growth models. Limitations: many studies treat regulatory friction qualitatively or at country-aggregate level, ignore time-varying trade-policy shocks, or lack robust prior/power analyses; few combine financial statement panel data with up-to-date tariff/NTM feeds; HS classification errors and small firm samples produce measurement noise; and reproducibility is weak because simulation code, seeds, and prior checks are often not published.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which firm-level, product, and regulatory variables drove export revenue growth for Santander, Colombia exporters from 2010 to 2020. We combine regional opportunity-map data, firm financials, trade-policy indicators, and shipment records to build a reproducible analysis pipeline. The core method is a hierarchical Bayesian linear regression (a statistical model that estimates effects at firm and year levels and produces probability distributions for parameters) complemented by a calibrated MCDA (a weighted scoring method) that integrates regulatory friction and cost-to-serve. Main contributions: (1) a defensible Regulatory Friction Score derived from tariffs, rules of origin, and non-tariff measures; (2) Bayesian model specifications with published priors, prior predictive checks, and simulation-based calibration; (3) ablation and sensitivity studies that show which variables change growth predictions and decision rules. Expected outcome: a transparent, testable ranking of growth drivers and operational decision thresholds to inform export strategy and pilot market selection.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firm panel: financial statements and export revenues for 128 Santander exporting firms, 2010–2020; (b) shipment-level customs samples (clearance times, document errors) aggregated to firm–year; (c) trade-policy feeds: HS6 tariffs, NTMs, ROO complexity by destination; (d) regional opportunity map indicators (market demand, competitors). Baselines: (1) pooled OLS; (2) firm fixed-effects linear regression; (3) Lasso penalized linear model; (4) random-forest predictor for export growth; (5) MCDA with expert weights. Proposed model: hierarchical Bayesian linear regression: y_it = X_it beta + u_i (firm random effect) + v_t (year random effect) + epsilon_it, where y_it is log annual export revenue growth; priors: compare Inv-Gamma variance prior to half-Student-t/half-Cauchy alternatives. Evaluation metrics: predictive RMSE and MAE (mean errors), R-squared, WAIC and LOO (Bayesian model fit), 95% credible interval coverage, calibration via SBC (simulation-based calibration), posterior decision accuracy for go/no-go (precision, recall) using P(effect&gt;threshold)&gt;=0.9. Experimental setup: preprocess HS codes to canonical HS6; run prior predictive checks; perform rolling-origin time cross-validation (train on 2010–k, test k+1) for k=2014..2019; compute baselines and proposed model on identical folds. Ablations: (A) remove Regulatory Friction Score; (B) replace half-Student-t priors with Inv-Gamma; (C) exclude product perishability and logistics cost variables; (D) disable HS automated corrections. Report full sample-size simulation code, random seeds, assumed distributions and sample-size tables across baseline medians and CVs; publish scripts and synthetic test data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Endogeneity and omitted-variable bias: unobserved firm investments or demand shocks may confound estimated effects. Measurement error: HS6 misclassification and noisy customs samples can bias coefficients. Small sample / selection: 128 firms may limit power for subgroup analyses and external generalization. Priors sensitivity: variance-prior choice (Inv-Gamma vs half-Student-t) can alter shrinkage and credible intervals. Multiplicity: many HS6 × market tests increase false-discovery risk if not properly controlled. Computational cost: hierarchical Bayesian inference and SBC with Monte Carlo require substantial CPU/GPU and time. Data gaps and provenance: incomplete tariff/NTM feeds or differing source concordance reduce ETL reliability. Legal/privacy constraints: sharing firm-level financials may be restricted by jurisdictional rules, limiting public reproducibility of raw data. Limited causal claims: observational panel regressions identify associations; causal interpretation depends on untestable assumptions.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