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precommitment_effectuation_sme_intl</w:t>
      </w:r>
    </w:p>
    <w:p>
      <w:r>
        <w:t xml:space="preserve"> </w:t>
      </w:r>
    </w:p>
    <w:p>
      <w:pPr>
        <w:pStyle w:val="Heading2"/>
      </w:pPr>
      <w:r>
        <w:t>Title</w:t>
      </w:r>
    </w:p>
    <w:p>
      <w:r>
        <w:t>Quasi-experimental causal analysis of how pre-commitments affect SME international performance</w:t>
      </w:r>
    </w:p>
    <w:p>
      <w:r>
        <w:t xml:space="preserve"> </w:t>
      </w:r>
    </w:p>
    <w:p>
      <w:pPr>
        <w:pStyle w:val="Heading2"/>
      </w:pPr>
      <w:r>
        <w:t>Short Hypothesis</w:t>
      </w:r>
    </w:p>
    <w:p>
      <w:r>
        <w:t>Binding pre-commitments made before foreign market entry increase SMEs' host-country sales growth in the first 24 months after entry.</w:t>
      </w:r>
    </w:p>
    <w:p>
      <w:r>
        <w:t xml:space="preserve"> </w:t>
      </w:r>
    </w:p>
    <w:p>
      <w:pPr>
        <w:pStyle w:val="Heading2"/>
      </w:pPr>
      <w:r>
        <w:t>Related Work</w:t>
      </w:r>
    </w:p>
    <w:p>
      <w:r>
        <w:t>Prior work links effectuation (means-driven action, affordable-loss reasoning) and real-options thinking (staging logic) to SME internationalization outcomes, commonly using cross-sectional surveys, structural equation models, or qualitative case studies. These approaches document correlations between commitment-type actions and better market outcomes but have limited causal identification, inconsistent measures of commitment enforceability, and weak handling of mediator mechanisms such as stakeholder bargaining. Existing methods rarely combine quasi-experimental identification (DiD, RD, IV) with mediator-aware estimators, and they under-address interference (spillovers) and measurement-error bias for contract-level data. Sample sizes are often small or single-country, constraining heterogeneity analysis across institutional distance. Thus, we need designs that deliver local causal effects (e.g., LATE) while testing mediation and robustness to instrument or SUTVA violations.</w:t>
      </w:r>
    </w:p>
    <w:p>
      <w:r>
        <w:t xml:space="preserve"> </w:t>
      </w:r>
    </w:p>
    <w:p>
      <w:pPr>
        <w:pStyle w:val="Heading2"/>
      </w:pPr>
      <w:r>
        <w:t>Abstract</w:t>
      </w:r>
    </w:p>
    <w:p>
      <w:r>
        <w:t>This study investigates whether and how binding pre-commitments prior to foreign market entry causally affect international performance of SMEs. We combine quasi-experimental identification (difference-in-differences for staggered policy rollouts, regression discontinuity at grant eligibility cutoffs, and instrumental variables from administrative rollout timing) with mediator-aware causal estimation to test the effect of pre-commitment attributes (magnitude, enforceability, timing) on short-term sales growth, entry speed, and survival. The main contribution is an integrated causal pipeline that (1) generates credible ATT and LATE estimates of pre-commitments on performance, (2) quantifies indirect effects through stakeholder bargaining and staging logic using causal mediation estimators (IPW mediation and sequential g-estimation), and (3) assesses threats from measurement error, spillovers, and weak instruments. Expected outcomes include robust evidence on the causal role of binding commitments and empirical measures of mediation strength, informing theory on effectuation and practical policy design for export-support programs. Technical terms are explained in plain language within the manuscript.</w:t>
      </w:r>
    </w:p>
    <w:p>
      <w:r>
        <w:t xml:space="preserve"> </w:t>
      </w:r>
    </w:p>
    <w:p>
      <w:pPr>
        <w:pStyle w:val="Heading2"/>
      </w:pPr>
      <w:r>
        <w:t>Experiments</w:t>
      </w:r>
    </w:p>
    <w:p>
      <w:r>
        <w:t>Datasets: (a) pilot survey of 332 New Zealand SMEs with entry observations and PLS-SEM measures (used for scale development); (b) main panel dataset of ~800–1,000 SMEs across 6–10 countries with: firm-year financials (host-country sales, revenue), documented pre-commitment records (MOUs, contracts, advance orders), administrative policy timing (grant/office rollouts), and eligibility scores for RD cutoffs. Baselines: (1) cross-sectional OLS with pre-treatment controls; (2) firm and time fixed-effects panel OLS; (3) PLS-SEM replicating prior correlational analyses; (4) difference-in-differences (DiD) naive two-way FE. Primary Estimators and comparisons: (A) Callaway &amp; Sant’Anna DiD (staggered rollout ATT) vs Sun &amp; Abraham robustness; (B) RD local-LATE (sharp and fuzzy), bandwidths per CCT/IK; (C) IV using rollout timing or eligibility instrument with LIML primary and Anderson-Rubin/CLR tests for inference. Mediation: compare IPW mediation (inverse-probability-weighting for mediator effects), sequential g-estimation, and a parametric SEM mediation estimator; report direct, indirect, and proportion-mediated estimates. Measurement-ablation: run each causal estimator using (i) full continuous enforceability index (monetary value × enforceability score), (ii) binary binding vs non-binding indicator, and (iii) measurement-error-corrected versions using validation subsample. Evaluation metrics: ATT/LATE point estimates with clustered standard errors and 95% CIs; first-stage F-statistics (&gt;10 target); placebo p-values; percent change in host-country sales (12 and 24 months), entry speed (months to first sale), hazard ratios for survival at 2 and 5 years; mediation indirect-effect sizes and bootstrap CIs; balance and McCrary density test statistics for RD. Ablation study: compare estimator sensitivity when excluding mediator adjustment, when using binary vs continuous pre-commitment measures, and when dropping countries with &lt;150 firms. Pre-registration: pre-specify primary outcome (24-month sales growth), primary estimator per design, multiplicity family, and robustness-spec tree.</w:t>
      </w:r>
    </w:p>
    <w:p>
      <w:r>
        <w:t xml:space="preserve"> </w:t>
      </w:r>
    </w:p>
    <w:p>
      <w:pPr>
        <w:pStyle w:val="Heading2"/>
      </w:pPr>
      <w:r>
        <w:t>Risk Factors And Limitations</w:t>
      </w:r>
    </w:p>
    <w:p>
      <w:r>
        <w:t>Instrument exclusion violations: administrative rollouts or eligibility rules may affect performance through channels other than pre-commitments (co-occurring policies), biasing IV/DiD estimates. Spillovers and SUTVA violations: firms may influence each other (e.g., partner networks, local demand), invalidating independent-treatment assumptions. Measurement error: enforceability and monetary values can be misreported or redacted, causing attenuation bias. Small-cluster inference: few policy-region clusters can make standard cluster SEs unreliable. Power constraints: RD/IV local effects may be underpowered in some countries or at specific cutoffs. Attrition and selection: firms with missing follow-up data or confidential contracts may induce nonrandom attrition. Generalizability limits: results from sampled countries or NZ pilot may not transfer to high institutional-distance contexts. Legal/data access: confidentiality restrictions may limit access to contract texts and exact monetary values.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