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config_complexity_engagement_expertise</w:t>
      </w:r>
    </w:p>
    <w:p>
      <w:r>
        <w:t xml:space="preserve"> </w:t>
      </w:r>
    </w:p>
    <w:p>
      <w:pPr>
        <w:pStyle w:val="Heading2"/>
      </w:pPr>
      <w:r>
        <w:t>Title</w:t>
      </w:r>
    </w:p>
    <w:p>
      <w:r>
        <w:t>Quantifying the effect of preprocessor-based configuration complexity on developer engagement and expertise formation via large-scale repository mining and causal inference</w:t>
      </w:r>
    </w:p>
    <w:p>
      <w:r>
        <w:t xml:space="preserve"> </w:t>
      </w:r>
    </w:p>
    <w:p>
      <w:pPr>
        <w:pStyle w:val="Heading2"/>
      </w:pPr>
      <w:r>
        <w:t>Short Hypothesis</w:t>
      </w:r>
    </w:p>
    <w:p>
      <w:r>
        <w:t>Higher configuration complexity in preprocessor-based configurable systems causes reduced developer engagement, measured as lower monthly commit counts, longer issue/PR response latency, fewer active days, and higher developer attrition rates.</w:t>
      </w:r>
    </w:p>
    <w:p>
      <w:r>
        <w:t xml:space="preserve"> </w:t>
      </w:r>
    </w:p>
    <w:p>
      <w:pPr>
        <w:pStyle w:val="Heading2"/>
      </w:pPr>
      <w:r>
        <w:t>Related Work</w:t>
      </w:r>
    </w:p>
    <w:p>
      <w:r>
        <w:t>Prior work studies software product lines, feature toggles, and developer expertise using mining-software-repositories methods and social-code metrics. Existing approaches typically measure expertise with coarse proxies such as total commit counts, lines-of-code changed, and file-level ownership, and evaluate engagement with aggregated activity statistics. Studies of variability often focus on feature-model extraction or static analysis of conditional compilation at small scale. Limitations include: (1) limited focus on preprocessor-based variability (e.g., #ifdefs, Kconfig) and its structural complexity, (2) small or single-project datasets that limit generality, (3) expertise metrics that ignore whether work touches variable (configuration-guarded) code, (4) scarce causal identification and weak handling of time-varying confounders, and (5) little integration of telemetry or privacy-aware data releases. These gaps leave unresolved whether conventional metrics capture who works on variable code and how complexity causally affects engagement and expertise formation.</w:t>
      </w:r>
    </w:p>
    <w:p>
      <w:r>
        <w:t xml:space="preserve"> </w:t>
      </w:r>
    </w:p>
    <w:p>
      <w:pPr>
        <w:pStyle w:val="Heading2"/>
      </w:pPr>
      <w:r>
        <w:t>Abstract</w:t>
      </w:r>
    </w:p>
    <w:p>
      <w:r>
        <w:t>We study how configuration complexity in preprocessor-based configurable software systems affects developer engagement and expertise. Configuration complexity means factors such as number of options, nesting depth of conditional compilation, and density of inter-option constraints. We propose a mixed-methods, reproducible study that mines 25 large open-source projects, extracts configuration artifacts and conditional-code structures, and links them to developer activity, review, and ownership records. We apply hierarchical statistical models and staggered difference-in-differences to estimate causal effects, and use telemetry and surveys for mediator measurement. The main contribution is an empirical evaluation of whether conventional expertise metrics (commit counts, LOC, file ownership) identify developers who work on variable code, and whether configuration complexity reduces engagement or concentrates expertise. Expected outcomes are validated extraction tools and reproducible effect estimates showing how variability structures map to changes in engagement and expertise distribution, enabling actionable guidance for tooling and documentation investments.</w:t>
      </w:r>
    </w:p>
    <w:p>
      <w:r>
        <w:t xml:space="preserve"> </w:t>
      </w:r>
    </w:p>
    <w:p>
      <w:pPr>
        <w:pStyle w:val="Heading2"/>
      </w:pPr>
      <w:r>
        <w:t>Experiments</w:t>
      </w:r>
    </w:p>
    <w:p>
      <w:r>
        <w:t>Datasets: 25 preprocessor-based configurable software system (CSS) projects selected by: presence of conditional compilation artifacts (C/C++ #ifdefs, Kconfig, feature-toggle files), active history &gt;=5 years, and public issue/PR metadata; target sample: 50k–200k commits and 200–1000 developers aggregate. Extraction validation: hand-labeled benchmark of 300–500 config files stratified by language and complexity strata; measure extractor precision, recall, F1, and ROC/AUC per language; canonical outputs = CNF/DNF clause lists and BDD snapshots (BDDs: binary decision diagrams, a compact boolean structure). Baselines: (A) conventional expertise metrics: total commits, lines-of-code changed, file-level ownership; (B) activity-only engagement baselines: raw commit frequency and active days; (C) no-variable-code models. Novel metrics: options_count (raw count), nesting_depth (max conditional nesting), constraint_density = (#constraint_clauses)/(max(1,#options)), variable_code_ownership = %changes in conditional-code. Primary outcomes: monthly_commit_count, issue_PR_time_to_first_response (days), active_days_per_month, retention (survival), time_to_majority_ownership (event). Statistical models: (1) GLMM negative-binomial for monthly_commit_count with fixed effects: log(options_count), nesting_depth, constraint_density, tooling_score, documentation_coverage, covariates (project_age, team_size); random intercepts: project, developer; overdispersion test and fallback to zero-inflated NB if Vuong p&lt;0.05. (2) Mixed-effects Cox proportional hazards for time_to_majority_ownership with project frailty and time-varying covariates. (3) Causal estimation: staggered DiD using Callaway &amp; Sant'Anna group-time ATT and Sun &amp; Abraham robustness checks for interventions (e.g., tooling rollout or large refactor); event-study leads/lags t in [-6,+12] months. (4) Mediation: multilevel structural equation models with mediators build_test_failure_rate and telemetry-measured cognitive_load (NASA-TLX short form). Missing data: MICE multiple imputation for surveys, IPW for telemetry opt-in (covariates: prior_activity, project_age, role, region). Model diagnostics: AIC/BIC, cross-validated log-score, Schoenfeld residuals for survival, R-hat and ESS if Bayesian. Hypothesis tests: report IRRs (incident rate ratios) and HRs (hazard ratios) with 95% CIs; control FDR at 5% using Benjamini-Hochberg for primary contrasts. Ablations: (i) remove variable-code signals from expertise metrics and re-evaluate predictive power for identifying variable-code contributors, (ii) compare models with and without telemetry mediators, (iii) compare NB vs zero-inflated NB performance, (iv) synthetic-control for single large interventions. Power: simulation-based power curves over ICC in [0.01,0.2], target 80% power to detect IRR≈1.10 with ~50–100 projects and 200–500 active developers; publish seeds and simulation code.</w:t>
      </w:r>
    </w:p>
    <w:p>
      <w:r>
        <w:t xml:space="preserve"> </w:t>
      </w:r>
    </w:p>
    <w:p>
      <w:pPr>
        <w:pStyle w:val="Heading2"/>
      </w:pPr>
      <w:r>
        <w:t>Risk Factors And Limitations</w:t>
      </w:r>
    </w:p>
    <w:p>
      <w:r>
        <w:t>Extraction errors: macro expansion, generated headers, and cross-file constraints may yield low precision/recall for some languages. Measurement bias: telemetry is opt-in and may create selection bias (MNAR) even after IPW. Causal threats: time-varying confounders, anticipation effects before interventions, and limited control pools for synthetic control reduce causal certainty. Privacy-utility tradeoff: differential privacy or aggregation may degrade effect estimates for rare events or small subgroups. Scalability: BDD/SAT construction and static analysis can be memory- and CPU-intensive on large codebases. Generalization limits: results may not transfer to non-preprocessor variability mechanisms (runtime feature flags, dynamic product configuration) or closed-source projects. Labeling limits: hand-labeled benchmark size may be insufficient for rare languages or extreme complexity strata. Ethical constraints: IRB restrictions may limit telemetry scope or data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